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7A3FC" w14:textId="637253FD" w:rsidR="00412DA2" w:rsidRDefault="00412DA2" w:rsidP="00AA2133">
      <w:pPr>
        <w:pStyle w:val="berschrift3"/>
        <w:spacing w:before="120" w:after="120"/>
      </w:pPr>
      <w:bookmarkStart w:id="0" w:name="_Ref125017354"/>
      <w:r w:rsidRPr="00412DA2">
        <w:t>Risk assessment</w:t>
      </w:r>
      <w:bookmarkEnd w:id="0"/>
    </w:p>
    <w:p w14:paraId="73C0DDEE" w14:textId="7A9483E6" w:rsidR="00312D78" w:rsidRDefault="00312D78" w:rsidP="00AA2133">
      <w:pPr>
        <w:pStyle w:val="berschrift4"/>
        <w:spacing w:before="120" w:after="120"/>
      </w:pPr>
      <w:bookmarkStart w:id="1" w:name="_Ref125017298"/>
      <w:r>
        <w:t>Individual substance</w:t>
      </w:r>
      <w:r w:rsidRPr="000E6F4F">
        <w:t xml:space="preserve"> risk assessment</w:t>
      </w:r>
      <w:bookmarkEnd w:id="1"/>
    </w:p>
    <w:p w14:paraId="7B1EA842" w14:textId="4795B747" w:rsidR="00BB002C" w:rsidRDefault="00BB002C" w:rsidP="00AA2133">
      <w:pPr>
        <w:pStyle w:val="RepStandard"/>
        <w:pBdr>
          <w:top w:val="single" w:sz="4" w:space="1" w:color="auto" w:shadow="1"/>
          <w:left w:val="single" w:sz="4" w:space="4" w:color="auto" w:shadow="1"/>
          <w:bottom w:val="single" w:sz="4" w:space="1" w:color="auto" w:shadow="1"/>
          <w:right w:val="single" w:sz="4" w:space="4" w:color="auto" w:shadow="1"/>
        </w:pBdr>
        <w:shd w:val="clear" w:color="auto" w:fill="CCFFFF"/>
        <w:spacing w:before="120" w:after="120"/>
        <w:rPr>
          <w:shd w:val="clear" w:color="auto" w:fill="CCFFFF"/>
          <w:lang w:val="en-US"/>
        </w:rPr>
      </w:pPr>
      <w:r w:rsidRPr="00BB002C">
        <w:rPr>
          <w:shd w:val="clear" w:color="auto" w:fill="CCFFFF"/>
          <w:lang w:val="en-US"/>
        </w:rPr>
        <w:t xml:space="preserve">In case a mixture risk assessment has to be performed, please add </w:t>
      </w:r>
      <w:r w:rsidR="00DF700A">
        <w:rPr>
          <w:shd w:val="clear" w:color="auto" w:fill="CCFFFF"/>
          <w:lang w:val="en-US"/>
        </w:rPr>
        <w:t xml:space="preserve">the </w:t>
      </w:r>
      <w:r w:rsidRPr="00BB002C">
        <w:rPr>
          <w:shd w:val="clear" w:color="auto" w:fill="CCFFFF"/>
          <w:lang w:val="en-US"/>
        </w:rPr>
        <w:t xml:space="preserve">headline </w:t>
      </w:r>
      <w:r>
        <w:rPr>
          <w:shd w:val="clear" w:color="auto" w:fill="CCFFFF"/>
          <w:lang w:val="en-US"/>
        </w:rPr>
        <w:fldChar w:fldCharType="begin"/>
      </w:r>
      <w:r>
        <w:rPr>
          <w:shd w:val="clear" w:color="auto" w:fill="CCFFFF"/>
          <w:lang w:val="en-US"/>
        </w:rPr>
        <w:instrText xml:space="preserve"> REF _Ref125017298 \r \h </w:instrText>
      </w:r>
      <w:r>
        <w:rPr>
          <w:shd w:val="clear" w:color="auto" w:fill="CCFFFF"/>
          <w:lang w:val="en-US"/>
        </w:rPr>
      </w:r>
      <w:r>
        <w:rPr>
          <w:shd w:val="clear" w:color="auto" w:fill="CCFFFF"/>
          <w:lang w:val="en-US"/>
        </w:rPr>
        <w:fldChar w:fldCharType="separate"/>
      </w:r>
      <w:r w:rsidR="00EE5667">
        <w:rPr>
          <w:shd w:val="clear" w:color="auto" w:fill="CCFFFF"/>
          <w:lang w:val="en-US"/>
        </w:rPr>
        <w:t>9.5.2.1</w:t>
      </w:r>
      <w:r>
        <w:rPr>
          <w:shd w:val="clear" w:color="auto" w:fill="CCFFFF"/>
          <w:lang w:val="en-US"/>
        </w:rPr>
        <w:fldChar w:fldCharType="end"/>
      </w:r>
      <w:r w:rsidRPr="00BB002C">
        <w:rPr>
          <w:shd w:val="clear" w:color="auto" w:fill="CCFFFF"/>
          <w:lang w:val="en-US"/>
        </w:rPr>
        <w:t xml:space="preserve"> to the respective section</w:t>
      </w:r>
      <w:r w:rsidR="00807F5F">
        <w:rPr>
          <w:shd w:val="clear" w:color="auto" w:fill="CCFFFF"/>
          <w:lang w:val="en-US"/>
        </w:rPr>
        <w:t xml:space="preserve"> </w:t>
      </w:r>
      <w:r w:rsidR="00807F5F">
        <w:rPr>
          <w:shd w:val="clear" w:color="auto" w:fill="CCFFFF"/>
          <w:lang w:val="en-US"/>
        </w:rPr>
        <w:fldChar w:fldCharType="begin"/>
      </w:r>
      <w:r w:rsidR="00807F5F">
        <w:rPr>
          <w:shd w:val="clear" w:color="auto" w:fill="CCFFFF"/>
          <w:lang w:val="en-US"/>
        </w:rPr>
        <w:instrText xml:space="preserve"> REF _Ref125017354 \r \h </w:instrText>
      </w:r>
      <w:r w:rsidR="00807F5F">
        <w:rPr>
          <w:shd w:val="clear" w:color="auto" w:fill="CCFFFF"/>
          <w:lang w:val="en-US"/>
        </w:rPr>
      </w:r>
      <w:r w:rsidR="00807F5F">
        <w:rPr>
          <w:shd w:val="clear" w:color="auto" w:fill="CCFFFF"/>
          <w:lang w:val="en-US"/>
        </w:rPr>
        <w:fldChar w:fldCharType="separate"/>
      </w:r>
      <w:r w:rsidR="00EE5667">
        <w:rPr>
          <w:shd w:val="clear" w:color="auto" w:fill="CCFFFF"/>
          <w:lang w:val="en-US"/>
        </w:rPr>
        <w:t>9.5.2</w:t>
      </w:r>
      <w:r w:rsidR="00807F5F">
        <w:rPr>
          <w:shd w:val="clear" w:color="auto" w:fill="CCFFFF"/>
          <w:lang w:val="en-US"/>
        </w:rPr>
        <w:fldChar w:fldCharType="end"/>
      </w:r>
      <w:r w:rsidRPr="00BB002C">
        <w:rPr>
          <w:shd w:val="clear" w:color="auto" w:fill="CCFFFF"/>
          <w:lang w:val="en-US"/>
        </w:rPr>
        <w:t xml:space="preserve">. Conduct </w:t>
      </w:r>
      <w:r w:rsidR="00DF700A">
        <w:rPr>
          <w:shd w:val="clear" w:color="auto" w:fill="CCFFFF"/>
          <w:lang w:val="en-US"/>
        </w:rPr>
        <w:t>a</w:t>
      </w:r>
      <w:r w:rsidRPr="00BB002C">
        <w:rPr>
          <w:shd w:val="clear" w:color="auto" w:fill="CCFFFF"/>
          <w:lang w:val="en-US"/>
        </w:rPr>
        <w:t xml:space="preserve"> normal risk assessment for each </w:t>
      </w:r>
      <w:proofErr w:type="spellStart"/>
      <w:r w:rsidRPr="00BB002C">
        <w:rPr>
          <w:shd w:val="clear" w:color="auto" w:fill="CCFFFF"/>
          <w:lang w:val="en-US"/>
        </w:rPr>
        <w:t>a.s.</w:t>
      </w:r>
      <w:proofErr w:type="spellEnd"/>
      <w:r w:rsidRPr="00BB002C">
        <w:rPr>
          <w:shd w:val="clear" w:color="auto" w:fill="CCFFFF"/>
          <w:lang w:val="en-US"/>
        </w:rPr>
        <w:t xml:space="preserve"> and afterwards add </w:t>
      </w:r>
      <w:r w:rsidR="00807F5F">
        <w:rPr>
          <w:shd w:val="clear" w:color="auto" w:fill="CCFFFF"/>
          <w:lang w:val="en-US"/>
        </w:rPr>
        <w:t>section</w:t>
      </w:r>
      <w:r>
        <w:rPr>
          <w:shd w:val="clear" w:color="auto" w:fill="CCFFFF"/>
          <w:lang w:val="en-US"/>
        </w:rPr>
        <w:t xml:space="preserve"> </w:t>
      </w:r>
      <w:r>
        <w:rPr>
          <w:shd w:val="clear" w:color="auto" w:fill="CCFFFF"/>
          <w:lang w:val="en-US"/>
        </w:rPr>
        <w:fldChar w:fldCharType="begin"/>
      </w:r>
      <w:r>
        <w:rPr>
          <w:shd w:val="clear" w:color="auto" w:fill="CCFFFF"/>
          <w:lang w:val="en-US"/>
        </w:rPr>
        <w:instrText xml:space="preserve"> REF _Ref125017311 \r \h </w:instrText>
      </w:r>
      <w:r>
        <w:rPr>
          <w:shd w:val="clear" w:color="auto" w:fill="CCFFFF"/>
          <w:lang w:val="en-US"/>
        </w:rPr>
      </w:r>
      <w:r>
        <w:rPr>
          <w:shd w:val="clear" w:color="auto" w:fill="CCFFFF"/>
          <w:lang w:val="en-US"/>
        </w:rPr>
        <w:fldChar w:fldCharType="separate"/>
      </w:r>
      <w:r w:rsidR="00EE5667">
        <w:rPr>
          <w:shd w:val="clear" w:color="auto" w:fill="CCFFFF"/>
          <w:lang w:val="en-US"/>
        </w:rPr>
        <w:t>9.5.2.2</w:t>
      </w:r>
      <w:r>
        <w:rPr>
          <w:shd w:val="clear" w:color="auto" w:fill="CCFFFF"/>
          <w:lang w:val="en-US"/>
        </w:rPr>
        <w:fldChar w:fldCharType="end"/>
      </w:r>
      <w:r>
        <w:rPr>
          <w:shd w:val="clear" w:color="auto" w:fill="CCFFFF"/>
          <w:lang w:val="en-US"/>
        </w:rPr>
        <w:t>.</w:t>
      </w:r>
    </w:p>
    <w:p w14:paraId="1D711780" w14:textId="65FEE374" w:rsidR="00312D78" w:rsidRDefault="00312D78" w:rsidP="00AA2133">
      <w:pPr>
        <w:pStyle w:val="RepStandard"/>
        <w:pBdr>
          <w:top w:val="single" w:sz="4" w:space="1" w:color="auto" w:shadow="1"/>
          <w:left w:val="single" w:sz="4" w:space="4" w:color="auto" w:shadow="1"/>
          <w:bottom w:val="single" w:sz="4" w:space="1" w:color="auto" w:shadow="1"/>
          <w:right w:val="single" w:sz="4" w:space="4" w:color="auto" w:shadow="1"/>
        </w:pBdr>
        <w:shd w:val="clear" w:color="auto" w:fill="CCFFFF"/>
        <w:spacing w:before="120" w:after="120"/>
        <w:rPr>
          <w:shd w:val="clear" w:color="auto" w:fill="CCFFFF"/>
          <w:lang w:val="en-US"/>
        </w:rPr>
      </w:pPr>
      <w:r>
        <w:rPr>
          <w:shd w:val="clear" w:color="auto" w:fill="CCFFFF"/>
          <w:lang w:val="en-US"/>
        </w:rPr>
        <w:t xml:space="preserve">Please </w:t>
      </w:r>
      <w:r w:rsidR="00401A62">
        <w:rPr>
          <w:shd w:val="clear" w:color="auto" w:fill="CCFFFF"/>
          <w:lang w:val="en-US"/>
        </w:rPr>
        <w:t>note</w:t>
      </w:r>
      <w:r w:rsidR="00347333">
        <w:rPr>
          <w:shd w:val="clear" w:color="auto" w:fill="CCFFFF"/>
          <w:lang w:val="en-US"/>
        </w:rPr>
        <w:t>,</w:t>
      </w:r>
      <w:r>
        <w:rPr>
          <w:shd w:val="clear" w:color="auto" w:fill="CCFFFF"/>
          <w:lang w:val="en-US"/>
        </w:rPr>
        <w:t xml:space="preserve"> </w:t>
      </w:r>
      <w:r w:rsidR="00BB002C">
        <w:rPr>
          <w:shd w:val="clear" w:color="auto" w:fill="CCFFFF"/>
          <w:lang w:val="en-US"/>
        </w:rPr>
        <w:t xml:space="preserve">in contrast to </w:t>
      </w:r>
      <w:r w:rsidR="00807F5F" w:rsidRPr="00807F5F">
        <w:rPr>
          <w:shd w:val="clear" w:color="auto" w:fill="CCFFFF"/>
          <w:lang w:val="en-US"/>
        </w:rPr>
        <w:t>the Aquatic Guidance Document</w:t>
      </w:r>
      <w:r w:rsidR="00807F5F">
        <w:rPr>
          <w:shd w:val="clear" w:color="auto" w:fill="CCFFFF"/>
          <w:lang w:val="en-US"/>
        </w:rPr>
        <w:t xml:space="preserve"> (</w:t>
      </w:r>
      <w:r w:rsidR="00A200F7">
        <w:rPr>
          <w:shd w:val="clear" w:color="auto" w:fill="CCFFFF"/>
          <w:lang w:val="en-US"/>
        </w:rPr>
        <w:t xml:space="preserve">shortly AGD, cf. </w:t>
      </w:r>
      <w:r w:rsidR="00807F5F" w:rsidRPr="00807F5F">
        <w:rPr>
          <w:shd w:val="clear" w:color="auto" w:fill="CCFFFF"/>
          <w:lang w:val="en-US"/>
        </w:rPr>
        <w:t>EFSA Journal 2013;11(7):3290</w:t>
      </w:r>
      <w:r w:rsidR="00BB002C">
        <w:rPr>
          <w:shd w:val="clear" w:color="auto" w:fill="CCFFFF"/>
          <w:lang w:val="en-US"/>
        </w:rPr>
        <w:t>)</w:t>
      </w:r>
      <w:r>
        <w:rPr>
          <w:shd w:val="clear" w:color="auto" w:fill="CCFFFF"/>
          <w:lang w:val="en-US"/>
        </w:rPr>
        <w:t xml:space="preserve"> the term “individual substance” instead of “single substance” is used in this </w:t>
      </w:r>
      <w:r w:rsidR="009F565C">
        <w:rPr>
          <w:shd w:val="clear" w:color="auto" w:fill="CCFFFF"/>
          <w:lang w:val="en-US"/>
        </w:rPr>
        <w:t>template</w:t>
      </w:r>
      <w:r>
        <w:rPr>
          <w:shd w:val="clear" w:color="auto" w:fill="CCFFFF"/>
          <w:lang w:val="en-US"/>
        </w:rPr>
        <w:t xml:space="preserve"> (and </w:t>
      </w:r>
      <w:r w:rsidR="009F565C">
        <w:rPr>
          <w:shd w:val="clear" w:color="auto" w:fill="CCFFFF"/>
          <w:lang w:val="en-US"/>
        </w:rPr>
        <w:t>the</w:t>
      </w:r>
      <w:r w:rsidRPr="00312D78">
        <w:rPr>
          <w:shd w:val="clear" w:color="auto" w:fill="CCFFFF"/>
          <w:lang w:val="en-US"/>
        </w:rPr>
        <w:t xml:space="preserve"> tool “</w:t>
      </w:r>
      <w:proofErr w:type="spellStart"/>
      <w:r w:rsidRPr="00312D78">
        <w:rPr>
          <w:shd w:val="clear" w:color="auto" w:fill="CCFFFF"/>
          <w:lang w:val="en-US"/>
        </w:rPr>
        <w:t>AGD_AquaMix</w:t>
      </w:r>
      <w:proofErr w:type="spellEnd"/>
      <w:r w:rsidR="00D16FB5">
        <w:rPr>
          <w:shd w:val="clear" w:color="auto" w:fill="CCFFFF"/>
          <w:lang w:val="en-US"/>
        </w:rPr>
        <w:t>”</w:t>
      </w:r>
      <w:r>
        <w:rPr>
          <w:shd w:val="clear" w:color="auto" w:fill="CCFFFF"/>
          <w:lang w:val="en-US"/>
        </w:rPr>
        <w:t>)</w:t>
      </w:r>
      <w:r w:rsidR="008D3BDA" w:rsidRPr="008D3BDA">
        <w:rPr>
          <w:shd w:val="clear" w:color="auto" w:fill="CCFFFF"/>
          <w:vertAlign w:val="superscript"/>
          <w:lang w:val="en-US"/>
        </w:rPr>
        <w:t>1</w:t>
      </w:r>
      <w:r>
        <w:rPr>
          <w:shd w:val="clear" w:color="auto" w:fill="CCFFFF"/>
          <w:lang w:val="en-US"/>
        </w:rPr>
        <w:t xml:space="preserve"> for semantic reasons –</w:t>
      </w:r>
      <w:r w:rsidRPr="00312D78">
        <w:rPr>
          <w:shd w:val="clear" w:color="auto" w:fill="CCFFFF"/>
          <w:lang w:val="en-US"/>
        </w:rPr>
        <w:t xml:space="preserve"> “assessing </w:t>
      </w:r>
      <w:r w:rsidR="00A200F7">
        <w:rPr>
          <w:shd w:val="clear" w:color="auto" w:fill="CCFFFF"/>
          <w:lang w:val="en-US"/>
        </w:rPr>
        <w:t>the</w:t>
      </w:r>
      <w:r w:rsidRPr="00312D78">
        <w:rPr>
          <w:shd w:val="clear" w:color="auto" w:fill="CCFFFF"/>
          <w:lang w:val="en-US"/>
        </w:rPr>
        <w:t xml:space="preserve"> single a</w:t>
      </w:r>
      <w:r w:rsidR="00A200F7">
        <w:rPr>
          <w:shd w:val="clear" w:color="auto" w:fill="CCFFFF"/>
          <w:lang w:val="en-US"/>
        </w:rPr>
        <w:t>ctive substances</w:t>
      </w:r>
      <w:r w:rsidRPr="00312D78">
        <w:rPr>
          <w:shd w:val="clear" w:color="auto" w:fill="CCFFFF"/>
          <w:lang w:val="en-US"/>
        </w:rPr>
        <w:t xml:space="preserve"> of a mixture” </w:t>
      </w:r>
      <w:r w:rsidR="00BB002C">
        <w:rPr>
          <w:shd w:val="clear" w:color="auto" w:fill="CCFFFF"/>
          <w:lang w:val="en-US"/>
        </w:rPr>
        <w:t>would be like</w:t>
      </w:r>
      <w:r w:rsidRPr="00312D78">
        <w:rPr>
          <w:shd w:val="clear" w:color="auto" w:fill="CCFFFF"/>
          <w:lang w:val="en-US"/>
        </w:rPr>
        <w:t xml:space="preserve"> “counting the single keys on a keyboard”</w:t>
      </w:r>
      <w:r w:rsidR="00A200F7">
        <w:rPr>
          <w:shd w:val="clear" w:color="auto" w:fill="CCFFFF"/>
          <w:lang w:val="en-US"/>
        </w:rPr>
        <w:t xml:space="preserve"> which is better expressed as</w:t>
      </w:r>
      <w:r w:rsidR="00BB002C">
        <w:rPr>
          <w:shd w:val="clear" w:color="auto" w:fill="CCFFFF"/>
          <w:lang w:val="en-US"/>
        </w:rPr>
        <w:t xml:space="preserve"> </w:t>
      </w:r>
      <w:r w:rsidR="00BB002C" w:rsidRPr="00312D78">
        <w:rPr>
          <w:shd w:val="clear" w:color="auto" w:fill="CCFFFF"/>
          <w:lang w:val="en-US"/>
        </w:rPr>
        <w:t xml:space="preserve">“assessing </w:t>
      </w:r>
      <w:r w:rsidR="00A200F7">
        <w:rPr>
          <w:shd w:val="clear" w:color="auto" w:fill="CCFFFF"/>
          <w:lang w:val="en-US"/>
        </w:rPr>
        <w:t>the</w:t>
      </w:r>
      <w:r w:rsidR="00BB002C" w:rsidRPr="00312D78">
        <w:rPr>
          <w:shd w:val="clear" w:color="auto" w:fill="CCFFFF"/>
          <w:lang w:val="en-US"/>
        </w:rPr>
        <w:t xml:space="preserve"> </w:t>
      </w:r>
      <w:proofErr w:type="spellStart"/>
      <w:r w:rsidR="00BB002C">
        <w:rPr>
          <w:shd w:val="clear" w:color="auto" w:fill="CCFFFF"/>
          <w:lang w:val="en-US"/>
        </w:rPr>
        <w:t>individudal</w:t>
      </w:r>
      <w:proofErr w:type="spellEnd"/>
      <w:r w:rsidR="00BB002C" w:rsidRPr="00312D78">
        <w:rPr>
          <w:shd w:val="clear" w:color="auto" w:fill="CCFFFF"/>
          <w:lang w:val="en-US"/>
        </w:rPr>
        <w:t xml:space="preserve"> a</w:t>
      </w:r>
      <w:r w:rsidR="00A200F7">
        <w:rPr>
          <w:shd w:val="clear" w:color="auto" w:fill="CCFFFF"/>
          <w:lang w:val="en-US"/>
        </w:rPr>
        <w:t>ctive substances</w:t>
      </w:r>
      <w:r w:rsidR="00BB002C" w:rsidRPr="00312D78">
        <w:rPr>
          <w:shd w:val="clear" w:color="auto" w:fill="CCFFFF"/>
          <w:lang w:val="en-US"/>
        </w:rPr>
        <w:t xml:space="preserve"> of a mixture”</w:t>
      </w:r>
      <w:r w:rsidR="00BB002C">
        <w:rPr>
          <w:shd w:val="clear" w:color="auto" w:fill="CCFFFF"/>
          <w:lang w:val="en-US"/>
        </w:rPr>
        <w:t xml:space="preserve"> (</w:t>
      </w:r>
      <w:r w:rsidR="00BB002C" w:rsidRPr="00312D78">
        <w:rPr>
          <w:shd w:val="clear" w:color="auto" w:fill="CCFFFF"/>
          <w:lang w:val="en-US"/>
        </w:rPr>
        <w:t xml:space="preserve">“counting the </w:t>
      </w:r>
      <w:r w:rsidR="00BB002C">
        <w:rPr>
          <w:shd w:val="clear" w:color="auto" w:fill="CCFFFF"/>
          <w:lang w:val="en-US"/>
        </w:rPr>
        <w:t>individual</w:t>
      </w:r>
      <w:r w:rsidR="00BB002C" w:rsidRPr="00312D78">
        <w:rPr>
          <w:shd w:val="clear" w:color="auto" w:fill="CCFFFF"/>
          <w:lang w:val="en-US"/>
        </w:rPr>
        <w:t xml:space="preserve"> keys on a keyboard”</w:t>
      </w:r>
      <w:r w:rsidR="00BB002C">
        <w:rPr>
          <w:shd w:val="clear" w:color="auto" w:fill="CCFFFF"/>
          <w:lang w:val="en-US"/>
        </w:rPr>
        <w:t>).</w:t>
      </w:r>
    </w:p>
    <w:p w14:paraId="6EE73BE2" w14:textId="22EC5969" w:rsidR="006F3C4C" w:rsidRDefault="00391F66" w:rsidP="00AA2133">
      <w:pPr>
        <w:pStyle w:val="RepStandard"/>
        <w:pBdr>
          <w:top w:val="single" w:sz="4" w:space="1" w:color="auto" w:shadow="1"/>
          <w:left w:val="single" w:sz="4" w:space="4" w:color="auto" w:shadow="1"/>
          <w:bottom w:val="single" w:sz="4" w:space="1" w:color="auto" w:shadow="1"/>
          <w:right w:val="single" w:sz="4" w:space="4" w:color="auto" w:shadow="1"/>
        </w:pBdr>
        <w:shd w:val="clear" w:color="auto" w:fill="CCFFFF"/>
        <w:spacing w:before="120" w:after="120"/>
        <w:rPr>
          <w:shd w:val="clear" w:color="auto" w:fill="CCFFFF"/>
          <w:lang w:val="en-US"/>
        </w:rPr>
      </w:pPr>
      <w:r w:rsidRPr="00F7790D">
        <w:t>T</w:t>
      </w:r>
      <w:r w:rsidR="007F45D7" w:rsidRPr="00F7790D">
        <w:t xml:space="preserve">o </w:t>
      </w:r>
      <w:r w:rsidRPr="00F7790D">
        <w:t>keep the</w:t>
      </w:r>
      <w:r w:rsidR="007F45D7" w:rsidRPr="00F7790D">
        <w:t xml:space="preserve"> </w:t>
      </w:r>
      <w:r w:rsidR="001A5744">
        <w:t xml:space="preserve">mixture </w:t>
      </w:r>
      <w:r w:rsidR="007F45D7" w:rsidRPr="00F7790D">
        <w:t xml:space="preserve">risk assessment </w:t>
      </w:r>
      <w:r w:rsidR="001A5744">
        <w:t>concise</w:t>
      </w:r>
      <w:r w:rsidRPr="00F7790D">
        <w:t xml:space="preserve"> </w:t>
      </w:r>
      <w:r w:rsidR="007F45D7" w:rsidRPr="00F7790D">
        <w:t>this template was kept as short as possible.</w:t>
      </w:r>
      <w:r w:rsidR="00DF700A">
        <w:t xml:space="preserve"> T</w:t>
      </w:r>
      <w:r w:rsidR="007F45D7" w:rsidRPr="00F7790D">
        <w:t xml:space="preserve">he </w:t>
      </w:r>
      <w:r w:rsidR="007F45D7" w:rsidRPr="00DF700A">
        <w:rPr>
          <w:b/>
        </w:rPr>
        <w:t>tables</w:t>
      </w:r>
      <w:r w:rsidR="007F45D7" w:rsidRPr="00F7790D">
        <w:t xml:space="preserve"> </w:t>
      </w:r>
      <w:r w:rsidR="001C6CC2">
        <w:t xml:space="preserve">below </w:t>
      </w:r>
      <w:r w:rsidR="007F45D7" w:rsidRPr="00F7790D">
        <w:t xml:space="preserve">can be filled by </w:t>
      </w:r>
      <w:r w:rsidR="007F45D7" w:rsidRPr="00F7790D">
        <w:rPr>
          <w:b/>
        </w:rPr>
        <w:t>copy &amp; paste</w:t>
      </w:r>
      <w:r w:rsidR="007F45D7" w:rsidRPr="00F7790D">
        <w:t xml:space="preserve"> from the </w:t>
      </w:r>
      <w:r w:rsidR="007F45D7" w:rsidRPr="00F7790D">
        <w:rPr>
          <w:b/>
        </w:rPr>
        <w:t xml:space="preserve">sheet </w:t>
      </w:r>
      <w:r w:rsidR="007F45D7" w:rsidRPr="00F7790D">
        <w:rPr>
          <w:b/>
          <w:shd w:val="clear" w:color="auto" w:fill="CCFFFF"/>
        </w:rPr>
        <w:t>“</w:t>
      </w:r>
      <w:proofErr w:type="spellStart"/>
      <w:r w:rsidR="007F45D7" w:rsidRPr="00F7790D">
        <w:rPr>
          <w:b/>
          <w:shd w:val="clear" w:color="auto" w:fill="CCFFFF"/>
        </w:rPr>
        <w:t>Final_conclusion</w:t>
      </w:r>
      <w:proofErr w:type="spellEnd"/>
      <w:r w:rsidR="007F45D7" w:rsidRPr="00F7790D">
        <w:rPr>
          <w:b/>
          <w:shd w:val="clear" w:color="auto" w:fill="CCFFFF"/>
        </w:rPr>
        <w:t xml:space="preserve">” of the </w:t>
      </w:r>
      <w:r w:rsidR="007F45D7" w:rsidRPr="00F7790D">
        <w:rPr>
          <w:b/>
          <w:shd w:val="clear" w:color="auto" w:fill="CCFFFF"/>
          <w:lang w:val="en-US"/>
        </w:rPr>
        <w:t>calculation tool</w:t>
      </w:r>
      <w:r w:rsidRPr="00F7790D">
        <w:rPr>
          <w:shd w:val="clear" w:color="auto" w:fill="CCFFFF"/>
          <w:lang w:val="en-US"/>
        </w:rPr>
        <w:t>.</w:t>
      </w:r>
      <w:r w:rsidR="007F45D7" w:rsidRPr="00F7790D">
        <w:t xml:space="preserve"> </w:t>
      </w:r>
      <w:r w:rsidRPr="00F7790D">
        <w:t>I</w:t>
      </w:r>
      <w:r w:rsidR="007F45D7" w:rsidRPr="00F7790D">
        <w:t xml:space="preserve">t is </w:t>
      </w:r>
      <w:r w:rsidR="007F45D7" w:rsidRPr="00F7790D">
        <w:rPr>
          <w:b/>
          <w:u w:val="single"/>
        </w:rPr>
        <w:t xml:space="preserve">highly recommended to </w:t>
      </w:r>
      <w:r w:rsidR="007F45D7" w:rsidRPr="00DF700A">
        <w:rPr>
          <w:b/>
          <w:u w:val="single"/>
        </w:rPr>
        <w:t>attach the</w:t>
      </w:r>
      <w:r w:rsidRPr="00DF700A">
        <w:rPr>
          <w:b/>
          <w:u w:val="single"/>
        </w:rPr>
        <w:t xml:space="preserve"> full</w:t>
      </w:r>
      <w:r w:rsidR="007F45D7" w:rsidRPr="00DF700A">
        <w:rPr>
          <w:b/>
          <w:u w:val="single"/>
        </w:rPr>
        <w:t xml:space="preserve"> calculations</w:t>
      </w:r>
      <w:r w:rsidR="007F45D7" w:rsidRPr="00F7790D">
        <w:t xml:space="preserve"> conducted with</w:t>
      </w:r>
      <w:r w:rsidR="001A5744">
        <w:t xml:space="preserve"> the tool</w:t>
      </w:r>
      <w:r w:rsidR="007F45D7" w:rsidRPr="00F7790D">
        <w:t xml:space="preserve"> </w:t>
      </w:r>
      <w:r w:rsidR="007F45D7" w:rsidRPr="00F7790D">
        <w:rPr>
          <w:shd w:val="clear" w:color="auto" w:fill="CCFFFF"/>
          <w:lang w:val="en-US"/>
        </w:rPr>
        <w:t>“</w:t>
      </w:r>
      <w:proofErr w:type="spellStart"/>
      <w:r w:rsidR="007F45D7" w:rsidRPr="00F7790D">
        <w:rPr>
          <w:shd w:val="clear" w:color="auto" w:fill="CCFFFF"/>
          <w:lang w:val="en-US"/>
        </w:rPr>
        <w:t>AGD_AquaMix</w:t>
      </w:r>
      <w:proofErr w:type="spellEnd"/>
      <w:r w:rsidR="007F45D7" w:rsidRPr="00F7790D">
        <w:rPr>
          <w:shd w:val="clear" w:color="auto" w:fill="CCFFFF"/>
          <w:lang w:val="en-US"/>
        </w:rPr>
        <w:t>”</w:t>
      </w:r>
      <w:r w:rsidRPr="00F7790D">
        <w:rPr>
          <w:shd w:val="clear" w:color="auto" w:fill="CCFFFF"/>
          <w:lang w:val="en-US"/>
        </w:rPr>
        <w:t xml:space="preserve"> as excel file</w:t>
      </w:r>
      <w:r w:rsidR="00D5790F">
        <w:rPr>
          <w:shd w:val="clear" w:color="auto" w:fill="CCFFFF"/>
          <w:lang w:val="en-US"/>
        </w:rPr>
        <w:t xml:space="preserve"> and/or document them in an Appendix</w:t>
      </w:r>
      <w:r w:rsidR="007F45D7" w:rsidRPr="00F7790D">
        <w:rPr>
          <w:shd w:val="clear" w:color="auto" w:fill="CCFFFF"/>
          <w:lang w:val="en-US"/>
        </w:rPr>
        <w:t>.</w:t>
      </w:r>
      <w:r w:rsidR="001A5744">
        <w:rPr>
          <w:shd w:val="clear" w:color="auto" w:fill="CCFFFF"/>
          <w:lang w:val="en-US"/>
        </w:rPr>
        <w:t xml:space="preserve"> </w:t>
      </w:r>
    </w:p>
    <w:p w14:paraId="55B5C617" w14:textId="2711C6F5" w:rsidR="002C6C5E" w:rsidRDefault="002C6C5E" w:rsidP="00AA2133">
      <w:pPr>
        <w:pStyle w:val="RepStandard"/>
        <w:pBdr>
          <w:top w:val="single" w:sz="4" w:space="1" w:color="auto" w:shadow="1"/>
          <w:left w:val="single" w:sz="4" w:space="4" w:color="auto" w:shadow="1"/>
          <w:bottom w:val="single" w:sz="4" w:space="1" w:color="auto" w:shadow="1"/>
          <w:right w:val="single" w:sz="4" w:space="4" w:color="auto" w:shadow="1"/>
        </w:pBdr>
        <w:shd w:val="clear" w:color="auto" w:fill="CCFFFF"/>
        <w:spacing w:before="120" w:after="120"/>
        <w:rPr>
          <w:shd w:val="clear" w:color="auto" w:fill="CCFFFF"/>
          <w:lang w:val="en-US"/>
        </w:rPr>
      </w:pPr>
      <w:r w:rsidRPr="002C6C5E">
        <w:rPr>
          <w:shd w:val="clear" w:color="auto" w:fill="CCFFFF"/>
          <w:lang w:val="en-US"/>
        </w:rPr>
        <w:t xml:space="preserve">The mixture toxicity risk assessment according to </w:t>
      </w:r>
      <w:r>
        <w:rPr>
          <w:shd w:val="clear" w:color="auto" w:fill="CCFFFF"/>
          <w:lang w:val="en-US"/>
        </w:rPr>
        <w:t>the AGD</w:t>
      </w:r>
      <w:r w:rsidRPr="002C6C5E">
        <w:rPr>
          <w:shd w:val="clear" w:color="auto" w:fill="CCFFFF"/>
          <w:lang w:val="en-US"/>
        </w:rPr>
        <w:t xml:space="preserve"> contains several assessment steps, which are based on the decision scheme as provided by EFSA (2013, section 10.3.11). For an overview of the Steps please be referred to the sheet “overview” in the calculation tool “</w:t>
      </w:r>
      <w:proofErr w:type="spellStart"/>
      <w:r w:rsidRPr="002C6C5E">
        <w:rPr>
          <w:shd w:val="clear" w:color="auto" w:fill="CCFFFF"/>
          <w:lang w:val="en-US"/>
        </w:rPr>
        <w:t>AGD_AquaMix</w:t>
      </w:r>
      <w:proofErr w:type="spellEnd"/>
      <w:r w:rsidRPr="002C6C5E">
        <w:rPr>
          <w:shd w:val="clear" w:color="auto" w:fill="CCFFFF"/>
          <w:lang w:val="en-US"/>
        </w:rPr>
        <w:t xml:space="preserve">”. </w:t>
      </w:r>
      <w:r w:rsidR="00D5790F">
        <w:rPr>
          <w:shd w:val="clear" w:color="auto" w:fill="CCFFFF"/>
          <w:lang w:val="en-US"/>
        </w:rPr>
        <w:t>Further in-depth explanations of the assessment procedure are included in the calculation tool (as well as the FAQ file) and are not repeated here.</w:t>
      </w:r>
    </w:p>
    <w:p w14:paraId="23A92540" w14:textId="6145A353" w:rsidR="00080FCD" w:rsidRPr="000E6F4F" w:rsidRDefault="00080FCD" w:rsidP="00AA2133">
      <w:pPr>
        <w:pStyle w:val="berschrift4"/>
        <w:spacing w:before="120" w:after="120"/>
      </w:pPr>
      <w:bookmarkStart w:id="2" w:name="_Ref125017311"/>
      <w:r w:rsidRPr="000E6F4F">
        <w:t>Mixture toxicity risk assessment</w:t>
      </w:r>
      <w:bookmarkEnd w:id="2"/>
    </w:p>
    <w:p w14:paraId="2C9B5826" w14:textId="5AF3792A" w:rsidR="00807F5F" w:rsidRPr="00AA2133" w:rsidRDefault="00807F5F" w:rsidP="00AA2133">
      <w:pPr>
        <w:pStyle w:val="RepStandard"/>
        <w:spacing w:before="120" w:after="120"/>
      </w:pPr>
      <w:r w:rsidRPr="002B1114">
        <w:t>The evaluation of the</w:t>
      </w:r>
      <w:r>
        <w:t xml:space="preserve"> mixture toxicity</w:t>
      </w:r>
      <w:r w:rsidRPr="002B1114">
        <w:t xml:space="preserve"> risk</w:t>
      </w:r>
      <w:r>
        <w:t>s</w:t>
      </w:r>
      <w:r w:rsidRPr="002B1114">
        <w:t xml:space="preserve"> for aquatic </w:t>
      </w:r>
      <w:r>
        <w:t>(</w:t>
      </w:r>
      <w:r w:rsidRPr="002B1114">
        <w:t>and sediment-dwelling</w:t>
      </w:r>
      <w:r w:rsidR="00D16FB5">
        <w:t>)</w:t>
      </w:r>
      <w:r w:rsidRPr="002B1114">
        <w:t xml:space="preserve"> organisms was performed in accordance</w:t>
      </w:r>
      <w:r>
        <w:t xml:space="preserve"> with</w:t>
      </w:r>
      <w:r w:rsidR="00D16FB5" w:rsidRPr="00D16FB5">
        <w:t xml:space="preserve"> </w:t>
      </w:r>
      <w:r>
        <w:t>the</w:t>
      </w:r>
      <w:r w:rsidRPr="002B1114">
        <w:t xml:space="preserve"> “</w:t>
      </w:r>
      <w:r w:rsidRPr="002C7A13">
        <w:t>Guidance on tiered risk assessment for plant pr</w:t>
      </w:r>
      <w:r w:rsidRPr="00AA2133">
        <w:t>otection products for aquatic organisms in edge-of-field surface waters in the context of Regulation (EC) No 1107/2009”, as provided by the Commission Services (SANTE-2015-00080, 15</w:t>
      </w:r>
      <w:r w:rsidR="00D16FB5">
        <w:t>.</w:t>
      </w:r>
      <w:r w:rsidRPr="00AA2133">
        <w:t xml:space="preserve"> January 2015) and in </w:t>
      </w:r>
      <w:r w:rsidR="00AA2133" w:rsidRPr="00AA2133">
        <w:t>EFSA Journal 2013;11(7):3290 (</w:t>
      </w:r>
      <w:r w:rsidRPr="00AA2133">
        <w:t>Aquatic Guidance Document</w:t>
      </w:r>
      <w:r w:rsidR="00AA2133" w:rsidRPr="00AA2133">
        <w:t>,</w:t>
      </w:r>
      <w:r w:rsidRPr="00AA2133">
        <w:t xml:space="preserve"> abbreviated as </w:t>
      </w:r>
      <w:r w:rsidR="00681BB2">
        <w:t>EFSA, 2013</w:t>
      </w:r>
      <w:r w:rsidRPr="00AA2133">
        <w:t xml:space="preserve">). </w:t>
      </w:r>
      <w:bookmarkStart w:id="3" w:name="_Hlk131076841"/>
      <w:r w:rsidR="002C6C5E" w:rsidRPr="002C6C5E">
        <w:t>The whole mixture assessment is based on the model of concentration addition (CA)</w:t>
      </w:r>
      <w:r w:rsidR="00C43F4B">
        <w:t xml:space="preserve"> and</w:t>
      </w:r>
      <w:r w:rsidR="008D3BDA">
        <w:t xml:space="preserve"> </w:t>
      </w:r>
      <w:r w:rsidR="00C43F4B">
        <w:t>particularly the</w:t>
      </w:r>
      <w:r w:rsidR="00C43F4B" w:rsidRPr="002C6C5E">
        <w:t xml:space="preserve"> decision scheme as provided by EFSA (2013, section 10.3.11)</w:t>
      </w:r>
      <w:r w:rsidR="00C43F4B">
        <w:t xml:space="preserve"> was applied</w:t>
      </w:r>
      <w:r w:rsidR="002C6C5E" w:rsidRPr="002C6C5E">
        <w:t>.</w:t>
      </w:r>
      <w:r w:rsidR="008D3BDA">
        <w:t xml:space="preserve"> The calculations were performed with the </w:t>
      </w:r>
      <w:r w:rsidR="008D3BDA" w:rsidRPr="008D3BDA">
        <w:t>tool “</w:t>
      </w:r>
      <w:proofErr w:type="spellStart"/>
      <w:r w:rsidR="008D3BDA" w:rsidRPr="008D3BDA">
        <w:t>AGD_AquaMix</w:t>
      </w:r>
      <w:proofErr w:type="spellEnd"/>
      <w:r w:rsidR="008D3BDA" w:rsidRPr="008D3BDA">
        <w:t>”.</w:t>
      </w:r>
      <w:r w:rsidR="008D3BDA" w:rsidRPr="008D3BDA">
        <w:rPr>
          <w:rStyle w:val="Funotenzeichen"/>
          <w:lang w:val="en-US"/>
        </w:rPr>
        <w:footnoteReference w:id="1"/>
      </w:r>
      <w:r w:rsidR="002C6C5E">
        <w:t xml:space="preserve"> </w:t>
      </w:r>
      <w:bookmarkStart w:id="5" w:name="_Hlk131071767"/>
      <w:r w:rsidR="00C43F4B" w:rsidRPr="00E23160">
        <w:rPr>
          <w:highlight w:val="yellow"/>
        </w:rPr>
        <w:t>T</w:t>
      </w:r>
      <w:r w:rsidR="00C43F4B" w:rsidRPr="00E23160">
        <w:rPr>
          <w:highlight w:val="yellow"/>
          <w:lang w:val="en-US"/>
        </w:rPr>
        <w:t xml:space="preserve">o keep the assessment </w:t>
      </w:r>
      <w:r w:rsidR="00C43F4B" w:rsidRPr="00EE5667">
        <w:rPr>
          <w:highlight w:val="yellow"/>
          <w:lang w:val="en-US"/>
        </w:rPr>
        <w:t>concise</w:t>
      </w:r>
      <w:r w:rsidR="00EE5667" w:rsidRPr="00EE5667">
        <w:rPr>
          <w:highlight w:val="yellow"/>
        </w:rPr>
        <w:t xml:space="preserve"> </w:t>
      </w:r>
      <w:r w:rsidR="00EE5667" w:rsidRPr="00EE5667">
        <w:rPr>
          <w:highlight w:val="yellow"/>
          <w:lang w:val="en-US"/>
        </w:rPr>
        <w:t>the focus of</w:t>
      </w:r>
      <w:r w:rsidR="00C43F4B" w:rsidRPr="00EE5667">
        <w:rPr>
          <w:highlight w:val="yellow"/>
        </w:rPr>
        <w:t xml:space="preserve"> this section </w:t>
      </w:r>
      <w:r w:rsidR="00C43F4B" w:rsidRPr="00D5790F">
        <w:rPr>
          <w:highlight w:val="yellow"/>
        </w:rPr>
        <w:t xml:space="preserve">of this registration report </w:t>
      </w:r>
      <w:r w:rsidR="00D5790F" w:rsidRPr="00D5790F">
        <w:rPr>
          <w:highlight w:val="yellow"/>
        </w:rPr>
        <w:t>is on the parts of the assessment leading to the most critical results. It does not cover each calculation step for each organism group</w:t>
      </w:r>
      <w:r w:rsidR="002C6C5E" w:rsidRPr="00D5790F">
        <w:rPr>
          <w:highlight w:val="yellow"/>
        </w:rPr>
        <w:t xml:space="preserve">. Further documentation of the full </w:t>
      </w:r>
      <w:r w:rsidR="002C6C5E" w:rsidRPr="00E23160">
        <w:rPr>
          <w:highlight w:val="yellow"/>
        </w:rPr>
        <w:t xml:space="preserve">results is given in </w:t>
      </w:r>
      <w:r w:rsidR="002C6C5E" w:rsidRPr="00E23160">
        <w:rPr>
          <w:highlight w:val="yellow"/>
          <w:lang w:val="en-US"/>
        </w:rPr>
        <w:t xml:space="preserve">the attached </w:t>
      </w:r>
      <w:r w:rsidR="002C6C5E" w:rsidRPr="00E23160">
        <w:rPr>
          <w:highlight w:val="yellow"/>
        </w:rPr>
        <w:t>mixture risk calculation</w:t>
      </w:r>
      <w:r w:rsidR="002C6C5E" w:rsidRPr="00E23160">
        <w:rPr>
          <w:highlight w:val="yellow"/>
          <w:lang w:val="en-US"/>
        </w:rPr>
        <w:t xml:space="preserve"> file / Appendix XXX / following: &lt;add explanation&gt;.</w:t>
      </w:r>
      <w:bookmarkEnd w:id="5"/>
      <w:bookmarkEnd w:id="3"/>
    </w:p>
    <w:p w14:paraId="1CF0B062" w14:textId="77777777" w:rsidR="00391F66" w:rsidRDefault="00391F66" w:rsidP="003370A7">
      <w:pPr>
        <w:pStyle w:val="RepStandard"/>
        <w:keepNext/>
        <w:spacing w:before="120" w:after="120"/>
      </w:pPr>
    </w:p>
    <w:p w14:paraId="5113D2D9" w14:textId="2D7281F7" w:rsidR="002C6C5E" w:rsidRDefault="002C6C5E" w:rsidP="003370A7">
      <w:pPr>
        <w:pStyle w:val="RepStandard"/>
        <w:keepNext/>
        <w:spacing w:before="120" w:after="120"/>
        <w:sectPr w:rsidR="002C6C5E">
          <w:pgSz w:w="11906" w:h="16838"/>
          <w:pgMar w:top="1417" w:right="1417" w:bottom="1134" w:left="1417" w:header="708" w:footer="708" w:gutter="0"/>
          <w:cols w:space="708"/>
          <w:docGrid w:linePitch="360"/>
        </w:sectPr>
      </w:pPr>
    </w:p>
    <w:p w14:paraId="313D2988" w14:textId="06E7B8C8" w:rsidR="00613169" w:rsidRPr="00F046C0" w:rsidRDefault="00613169" w:rsidP="00613169">
      <w:pPr>
        <w:pStyle w:val="Beschriftung"/>
        <w:spacing w:before="120" w:after="120"/>
        <w:ind w:left="1410" w:hanging="1410"/>
        <w:rPr>
          <w:sz w:val="22"/>
          <w:szCs w:val="22"/>
        </w:rPr>
      </w:pPr>
      <w:bookmarkStart w:id="6" w:name="_Ref127181491"/>
      <w:r w:rsidRPr="00613169">
        <w:rPr>
          <w:sz w:val="22"/>
          <w:szCs w:val="22"/>
        </w:rPr>
        <w:lastRenderedPageBreak/>
        <w:t xml:space="preserve">Table </w:t>
      </w:r>
      <w:r w:rsidRPr="005F2574">
        <w:rPr>
          <w:sz w:val="22"/>
          <w:szCs w:val="22"/>
        </w:rPr>
        <w:fldChar w:fldCharType="begin"/>
      </w:r>
      <w:r w:rsidRPr="005F2574">
        <w:rPr>
          <w:sz w:val="22"/>
          <w:szCs w:val="22"/>
        </w:rPr>
        <w:instrText xml:space="preserve"> STYLEREF 4 \s </w:instrText>
      </w:r>
      <w:r w:rsidRPr="005F2574">
        <w:rPr>
          <w:sz w:val="22"/>
          <w:szCs w:val="22"/>
        </w:rPr>
        <w:fldChar w:fldCharType="separate"/>
      </w:r>
      <w:r w:rsidR="00EE5667">
        <w:rPr>
          <w:noProof/>
          <w:sz w:val="22"/>
          <w:szCs w:val="22"/>
        </w:rPr>
        <w:t>9.5.2.2</w:t>
      </w:r>
      <w:r w:rsidRPr="005F2574">
        <w:rPr>
          <w:sz w:val="22"/>
          <w:szCs w:val="22"/>
        </w:rPr>
        <w:fldChar w:fldCharType="end"/>
      </w:r>
      <w:r w:rsidRPr="005F2574">
        <w:rPr>
          <w:sz w:val="22"/>
          <w:szCs w:val="22"/>
        </w:rPr>
        <w:noBreakHyphen/>
      </w:r>
      <w:r w:rsidRPr="005F2574">
        <w:rPr>
          <w:sz w:val="22"/>
          <w:szCs w:val="22"/>
        </w:rPr>
        <w:fldChar w:fldCharType="begin"/>
      </w:r>
      <w:r w:rsidRPr="005F2574">
        <w:rPr>
          <w:sz w:val="22"/>
          <w:szCs w:val="22"/>
        </w:rPr>
        <w:instrText xml:space="preserve"> SEQ Table \* ARABIC \s 4 </w:instrText>
      </w:r>
      <w:r w:rsidRPr="005F2574">
        <w:rPr>
          <w:sz w:val="22"/>
          <w:szCs w:val="22"/>
        </w:rPr>
        <w:fldChar w:fldCharType="separate"/>
      </w:r>
      <w:r w:rsidR="00EE5667">
        <w:rPr>
          <w:noProof/>
          <w:sz w:val="22"/>
          <w:szCs w:val="22"/>
        </w:rPr>
        <w:t>1</w:t>
      </w:r>
      <w:r w:rsidRPr="005F2574">
        <w:rPr>
          <w:sz w:val="22"/>
          <w:szCs w:val="22"/>
        </w:rPr>
        <w:fldChar w:fldCharType="end"/>
      </w:r>
      <w:bookmarkEnd w:id="6"/>
      <w:r>
        <w:rPr>
          <w:sz w:val="22"/>
          <w:szCs w:val="22"/>
        </w:rPr>
        <w:t>: S</w:t>
      </w:r>
      <w:r w:rsidRPr="00613169">
        <w:rPr>
          <w:sz w:val="22"/>
          <w:szCs w:val="22"/>
        </w:rPr>
        <w:t xml:space="preserve">ummary of assessment </w:t>
      </w:r>
      <w:r>
        <w:rPr>
          <w:sz w:val="22"/>
          <w:szCs w:val="22"/>
        </w:rPr>
        <w:t>s</w:t>
      </w:r>
      <w:r w:rsidRPr="00613169">
        <w:rPr>
          <w:sz w:val="22"/>
          <w:szCs w:val="22"/>
        </w:rPr>
        <w:t xml:space="preserve">teps </w:t>
      </w:r>
      <w:r w:rsidR="000C0812">
        <w:rPr>
          <w:sz w:val="22"/>
          <w:szCs w:val="22"/>
        </w:rPr>
        <w:t>considered</w:t>
      </w:r>
      <w:r w:rsidRPr="00613169">
        <w:rPr>
          <w:sz w:val="22"/>
          <w:szCs w:val="22"/>
        </w:rPr>
        <w:t xml:space="preserve"> for the </w:t>
      </w:r>
      <w:r>
        <w:rPr>
          <w:sz w:val="22"/>
          <w:szCs w:val="22"/>
        </w:rPr>
        <w:t xml:space="preserve">mixture risk </w:t>
      </w:r>
      <w:r w:rsidRPr="00613169">
        <w:rPr>
          <w:sz w:val="22"/>
          <w:szCs w:val="22"/>
        </w:rPr>
        <w:t>assessment</w:t>
      </w:r>
    </w:p>
    <w:tbl>
      <w:tblPr>
        <w:tblStyle w:val="Tabellenraster"/>
        <w:tblW w:w="14596" w:type="dxa"/>
        <w:tblLayout w:type="fixed"/>
        <w:tblLook w:val="04A0" w:firstRow="1" w:lastRow="0" w:firstColumn="1" w:lastColumn="0" w:noHBand="0" w:noVBand="1"/>
      </w:tblPr>
      <w:tblGrid>
        <w:gridCol w:w="3964"/>
        <w:gridCol w:w="2658"/>
        <w:gridCol w:w="2658"/>
        <w:gridCol w:w="2658"/>
        <w:gridCol w:w="2658"/>
      </w:tblGrid>
      <w:tr w:rsidR="00391F66" w:rsidRPr="00391F66" w14:paraId="60A6DCEB" w14:textId="77777777" w:rsidTr="006B749C">
        <w:trPr>
          <w:trHeight w:val="300"/>
        </w:trPr>
        <w:tc>
          <w:tcPr>
            <w:tcW w:w="3964" w:type="dxa"/>
            <w:vMerge w:val="restart"/>
            <w:noWrap/>
            <w:vAlign w:val="center"/>
            <w:hideMark/>
          </w:tcPr>
          <w:p w14:paraId="61EAFA33" w14:textId="77777777" w:rsidR="00391F66" w:rsidRPr="00391F66" w:rsidRDefault="00391F66" w:rsidP="006B749C">
            <w:pPr>
              <w:pStyle w:val="RepStandard"/>
              <w:spacing w:before="120" w:after="120"/>
              <w:jc w:val="left"/>
              <w:rPr>
                <w:b/>
                <w:bCs/>
                <w:lang w:val="de-DE"/>
              </w:rPr>
            </w:pPr>
            <w:r w:rsidRPr="00391F66">
              <w:rPr>
                <w:b/>
                <w:bCs/>
              </w:rPr>
              <w:t>Steps</w:t>
            </w:r>
          </w:p>
        </w:tc>
        <w:tc>
          <w:tcPr>
            <w:tcW w:w="10632" w:type="dxa"/>
            <w:gridSpan w:val="4"/>
            <w:noWrap/>
            <w:vAlign w:val="center"/>
            <w:hideMark/>
          </w:tcPr>
          <w:p w14:paraId="0E8D5FF4" w14:textId="77777777" w:rsidR="00391F66" w:rsidRPr="00391F66" w:rsidRDefault="00391F66" w:rsidP="006B749C">
            <w:pPr>
              <w:pStyle w:val="RepStandard"/>
              <w:spacing w:before="120" w:after="120"/>
              <w:jc w:val="center"/>
              <w:rPr>
                <w:b/>
                <w:bCs/>
              </w:rPr>
            </w:pPr>
            <w:r w:rsidRPr="00391F66">
              <w:rPr>
                <w:b/>
                <w:bCs/>
              </w:rPr>
              <w:t>Conclusion on the Steps</w:t>
            </w:r>
          </w:p>
        </w:tc>
      </w:tr>
      <w:tr w:rsidR="00391F66" w:rsidRPr="00391F66" w14:paraId="61114732" w14:textId="77777777" w:rsidTr="006B749C">
        <w:trPr>
          <w:trHeight w:val="375"/>
        </w:trPr>
        <w:tc>
          <w:tcPr>
            <w:tcW w:w="3964" w:type="dxa"/>
            <w:vMerge/>
            <w:vAlign w:val="center"/>
            <w:hideMark/>
          </w:tcPr>
          <w:p w14:paraId="7C7615EF" w14:textId="77777777" w:rsidR="00391F66" w:rsidRPr="00391F66" w:rsidRDefault="00391F66" w:rsidP="006B749C">
            <w:pPr>
              <w:pStyle w:val="RepStandard"/>
              <w:spacing w:before="120" w:after="120"/>
              <w:jc w:val="left"/>
              <w:rPr>
                <w:b/>
                <w:bCs/>
              </w:rPr>
            </w:pPr>
          </w:p>
        </w:tc>
        <w:tc>
          <w:tcPr>
            <w:tcW w:w="2658" w:type="dxa"/>
            <w:noWrap/>
            <w:vAlign w:val="center"/>
            <w:hideMark/>
          </w:tcPr>
          <w:p w14:paraId="5934679C" w14:textId="77777777" w:rsidR="00391F66" w:rsidRPr="00391F66" w:rsidRDefault="00391F66" w:rsidP="006B749C">
            <w:pPr>
              <w:pStyle w:val="RepStandard"/>
              <w:spacing w:before="120" w:after="120"/>
              <w:jc w:val="center"/>
              <w:rPr>
                <w:b/>
                <w:bCs/>
              </w:rPr>
            </w:pPr>
            <w:r w:rsidRPr="00391F66">
              <w:rPr>
                <w:b/>
                <w:bCs/>
              </w:rPr>
              <w:t>Fish</w:t>
            </w:r>
          </w:p>
        </w:tc>
        <w:tc>
          <w:tcPr>
            <w:tcW w:w="2658" w:type="dxa"/>
            <w:noWrap/>
            <w:vAlign w:val="center"/>
            <w:hideMark/>
          </w:tcPr>
          <w:p w14:paraId="4A77BA31" w14:textId="77777777" w:rsidR="00391F66" w:rsidRPr="00391F66" w:rsidRDefault="00391F66" w:rsidP="006B749C">
            <w:pPr>
              <w:pStyle w:val="RepStandard"/>
              <w:spacing w:before="120" w:after="120"/>
              <w:jc w:val="center"/>
              <w:rPr>
                <w:b/>
                <w:bCs/>
              </w:rPr>
            </w:pPr>
            <w:r w:rsidRPr="00391F66">
              <w:rPr>
                <w:b/>
                <w:bCs/>
              </w:rPr>
              <w:t>Invertebrates</w:t>
            </w:r>
          </w:p>
        </w:tc>
        <w:tc>
          <w:tcPr>
            <w:tcW w:w="2658" w:type="dxa"/>
            <w:noWrap/>
            <w:vAlign w:val="center"/>
            <w:hideMark/>
          </w:tcPr>
          <w:p w14:paraId="6E2EC091" w14:textId="77777777" w:rsidR="00391F66" w:rsidRPr="00391F66" w:rsidRDefault="00391F66" w:rsidP="006B749C">
            <w:pPr>
              <w:pStyle w:val="RepStandard"/>
              <w:spacing w:before="120" w:after="120"/>
              <w:jc w:val="center"/>
              <w:rPr>
                <w:b/>
                <w:bCs/>
              </w:rPr>
            </w:pPr>
            <w:r w:rsidRPr="00391F66">
              <w:rPr>
                <w:b/>
                <w:bCs/>
              </w:rPr>
              <w:t>Algae</w:t>
            </w:r>
          </w:p>
        </w:tc>
        <w:tc>
          <w:tcPr>
            <w:tcW w:w="2658" w:type="dxa"/>
            <w:noWrap/>
            <w:vAlign w:val="center"/>
            <w:hideMark/>
          </w:tcPr>
          <w:p w14:paraId="129E618E" w14:textId="77777777" w:rsidR="00391F66" w:rsidRPr="00391F66" w:rsidRDefault="00391F66" w:rsidP="006B749C">
            <w:pPr>
              <w:pStyle w:val="RepStandard"/>
              <w:spacing w:before="120" w:after="120"/>
              <w:jc w:val="center"/>
              <w:rPr>
                <w:b/>
                <w:bCs/>
              </w:rPr>
            </w:pPr>
            <w:r w:rsidRPr="00391F66">
              <w:rPr>
                <w:b/>
                <w:bCs/>
              </w:rPr>
              <w:t>Macrophytes</w:t>
            </w:r>
          </w:p>
        </w:tc>
      </w:tr>
      <w:tr w:rsidR="00391F66" w:rsidRPr="00391F66" w14:paraId="260A7137" w14:textId="77777777" w:rsidTr="006B749C">
        <w:trPr>
          <w:trHeight w:val="1170"/>
        </w:trPr>
        <w:tc>
          <w:tcPr>
            <w:tcW w:w="3964" w:type="dxa"/>
            <w:noWrap/>
            <w:vAlign w:val="center"/>
            <w:hideMark/>
          </w:tcPr>
          <w:p w14:paraId="6EE5355C" w14:textId="77777777" w:rsidR="00391F66" w:rsidRPr="00391F66" w:rsidRDefault="00391F66" w:rsidP="006B749C">
            <w:pPr>
              <w:pStyle w:val="RepStandard"/>
              <w:spacing w:before="120" w:after="120"/>
              <w:jc w:val="left"/>
              <w:rPr>
                <w:b/>
                <w:bCs/>
              </w:rPr>
            </w:pPr>
            <w:r w:rsidRPr="00391F66">
              <w:rPr>
                <w:b/>
                <w:bCs/>
              </w:rPr>
              <w:t>Screening 1: ETR trigger (optional Step)</w:t>
            </w:r>
          </w:p>
        </w:tc>
        <w:tc>
          <w:tcPr>
            <w:tcW w:w="2658" w:type="dxa"/>
            <w:hideMark/>
          </w:tcPr>
          <w:p w14:paraId="6A3CEF59"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3EB71CF2"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11DE542C"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194FD0D0" w14:textId="77777777" w:rsidR="00391F66" w:rsidRPr="00391F66" w:rsidRDefault="00391F66" w:rsidP="00391F66">
            <w:pPr>
              <w:pStyle w:val="RepStandard"/>
              <w:spacing w:before="120" w:after="120"/>
              <w:jc w:val="left"/>
              <w:rPr>
                <w:b/>
                <w:bCs/>
              </w:rPr>
            </w:pPr>
            <w:r w:rsidRPr="00391F66">
              <w:rPr>
                <w:b/>
                <w:bCs/>
              </w:rPr>
              <w:t> </w:t>
            </w:r>
          </w:p>
        </w:tc>
      </w:tr>
      <w:tr w:rsidR="00391F66" w:rsidRPr="00391F66" w14:paraId="6B7ACF25" w14:textId="77777777" w:rsidTr="006B749C">
        <w:trPr>
          <w:trHeight w:val="1170"/>
        </w:trPr>
        <w:tc>
          <w:tcPr>
            <w:tcW w:w="3964" w:type="dxa"/>
            <w:noWrap/>
            <w:vAlign w:val="center"/>
            <w:hideMark/>
          </w:tcPr>
          <w:p w14:paraId="79A6008D" w14:textId="77777777" w:rsidR="00391F66" w:rsidRPr="00391F66" w:rsidRDefault="00391F66" w:rsidP="006B749C">
            <w:pPr>
              <w:pStyle w:val="RepStandard"/>
              <w:spacing w:before="120" w:after="120"/>
              <w:jc w:val="left"/>
              <w:rPr>
                <w:b/>
                <w:bCs/>
              </w:rPr>
            </w:pPr>
            <w:r w:rsidRPr="00391F66">
              <w:rPr>
                <w:b/>
                <w:bCs/>
              </w:rPr>
              <w:t>Screening 2: Driver (optional Step)</w:t>
            </w:r>
          </w:p>
        </w:tc>
        <w:tc>
          <w:tcPr>
            <w:tcW w:w="2658" w:type="dxa"/>
            <w:hideMark/>
          </w:tcPr>
          <w:p w14:paraId="70701C8D"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18044CD4"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78042160"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51816133" w14:textId="77777777" w:rsidR="00391F66" w:rsidRPr="00391F66" w:rsidRDefault="00391F66" w:rsidP="00391F66">
            <w:pPr>
              <w:pStyle w:val="RepStandard"/>
              <w:spacing w:before="120" w:after="120"/>
              <w:jc w:val="left"/>
              <w:rPr>
                <w:b/>
                <w:bCs/>
              </w:rPr>
            </w:pPr>
            <w:r w:rsidRPr="00391F66">
              <w:rPr>
                <w:b/>
                <w:bCs/>
              </w:rPr>
              <w:t> </w:t>
            </w:r>
          </w:p>
        </w:tc>
      </w:tr>
      <w:tr w:rsidR="00391F66" w:rsidRPr="00391F66" w14:paraId="1D898BF1" w14:textId="77777777" w:rsidTr="006B749C">
        <w:trPr>
          <w:trHeight w:val="1170"/>
        </w:trPr>
        <w:tc>
          <w:tcPr>
            <w:tcW w:w="3964" w:type="dxa"/>
            <w:noWrap/>
            <w:vAlign w:val="center"/>
            <w:hideMark/>
          </w:tcPr>
          <w:p w14:paraId="6169B4AD" w14:textId="77777777" w:rsidR="00391F66" w:rsidRPr="00391F66" w:rsidRDefault="00391F66" w:rsidP="006B749C">
            <w:pPr>
              <w:pStyle w:val="RepStandard"/>
              <w:spacing w:before="120" w:after="120"/>
              <w:jc w:val="left"/>
              <w:rPr>
                <w:b/>
                <w:bCs/>
              </w:rPr>
            </w:pPr>
            <w:r w:rsidRPr="00391F66">
              <w:rPr>
                <w:b/>
                <w:bCs/>
              </w:rPr>
              <w:t>Step 1: data available?</w:t>
            </w:r>
          </w:p>
        </w:tc>
        <w:tc>
          <w:tcPr>
            <w:tcW w:w="2658" w:type="dxa"/>
            <w:hideMark/>
          </w:tcPr>
          <w:p w14:paraId="2F4542F7"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0F26C9B6"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5E1505A2"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678612BB" w14:textId="77777777" w:rsidR="00391F66" w:rsidRPr="00391F66" w:rsidRDefault="00391F66" w:rsidP="00391F66">
            <w:pPr>
              <w:pStyle w:val="RepStandard"/>
              <w:spacing w:before="120" w:after="120"/>
              <w:jc w:val="left"/>
              <w:rPr>
                <w:b/>
                <w:bCs/>
              </w:rPr>
            </w:pPr>
            <w:r w:rsidRPr="00391F66">
              <w:rPr>
                <w:b/>
                <w:bCs/>
              </w:rPr>
              <w:t> </w:t>
            </w:r>
          </w:p>
        </w:tc>
      </w:tr>
      <w:tr w:rsidR="00391F66" w:rsidRPr="00391F66" w14:paraId="2D038304" w14:textId="77777777" w:rsidTr="006B749C">
        <w:trPr>
          <w:trHeight w:val="1170"/>
        </w:trPr>
        <w:tc>
          <w:tcPr>
            <w:tcW w:w="3964" w:type="dxa"/>
            <w:noWrap/>
            <w:vAlign w:val="center"/>
            <w:hideMark/>
          </w:tcPr>
          <w:p w14:paraId="40CA67A1" w14:textId="77777777" w:rsidR="00391F66" w:rsidRPr="00391F66" w:rsidRDefault="00391F66" w:rsidP="006B749C">
            <w:pPr>
              <w:pStyle w:val="RepStandard"/>
              <w:spacing w:before="120" w:after="120"/>
              <w:jc w:val="left"/>
              <w:rPr>
                <w:b/>
                <w:bCs/>
              </w:rPr>
            </w:pPr>
            <w:r w:rsidRPr="00391F66">
              <w:rPr>
                <w:b/>
                <w:bCs/>
              </w:rPr>
              <w:t>Step 2: apparent synergism or antagonism?</w:t>
            </w:r>
          </w:p>
        </w:tc>
        <w:tc>
          <w:tcPr>
            <w:tcW w:w="2658" w:type="dxa"/>
            <w:hideMark/>
          </w:tcPr>
          <w:p w14:paraId="2FF6657A"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1A9FD8EE"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0151F39D"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3FFB76A6" w14:textId="77777777" w:rsidR="00391F66" w:rsidRPr="00391F66" w:rsidRDefault="00391F66" w:rsidP="00391F66">
            <w:pPr>
              <w:pStyle w:val="RepStandard"/>
              <w:spacing w:before="120" w:after="120"/>
              <w:jc w:val="left"/>
              <w:rPr>
                <w:b/>
                <w:bCs/>
              </w:rPr>
            </w:pPr>
            <w:r w:rsidRPr="00391F66">
              <w:rPr>
                <w:b/>
                <w:bCs/>
              </w:rPr>
              <w:t> </w:t>
            </w:r>
          </w:p>
        </w:tc>
      </w:tr>
      <w:tr w:rsidR="00391F66" w:rsidRPr="00391F66" w14:paraId="344C04BB" w14:textId="77777777" w:rsidTr="006B749C">
        <w:trPr>
          <w:trHeight w:val="1125"/>
        </w:trPr>
        <w:tc>
          <w:tcPr>
            <w:tcW w:w="3964" w:type="dxa"/>
            <w:noWrap/>
            <w:vAlign w:val="center"/>
            <w:hideMark/>
          </w:tcPr>
          <w:p w14:paraId="7AC6050B" w14:textId="77777777" w:rsidR="00391F66" w:rsidRPr="00391F66" w:rsidRDefault="00391F66" w:rsidP="006B749C">
            <w:pPr>
              <w:pStyle w:val="RepStandard"/>
              <w:spacing w:before="120" w:after="120"/>
              <w:jc w:val="left"/>
              <w:rPr>
                <w:b/>
                <w:bCs/>
              </w:rPr>
            </w:pPr>
            <w:r w:rsidRPr="00391F66">
              <w:rPr>
                <w:b/>
                <w:bCs/>
              </w:rPr>
              <w:t>Step 3: mixture similar or not?</w:t>
            </w:r>
          </w:p>
        </w:tc>
        <w:tc>
          <w:tcPr>
            <w:tcW w:w="2658" w:type="dxa"/>
            <w:hideMark/>
          </w:tcPr>
          <w:p w14:paraId="19BC79F9"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6EA00C69"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0D0918E0"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310BFF40" w14:textId="77777777" w:rsidR="00391F66" w:rsidRPr="00391F66" w:rsidRDefault="00391F66" w:rsidP="00391F66">
            <w:pPr>
              <w:pStyle w:val="RepStandard"/>
              <w:spacing w:before="120" w:after="120"/>
              <w:jc w:val="left"/>
              <w:rPr>
                <w:b/>
                <w:bCs/>
              </w:rPr>
            </w:pPr>
            <w:r w:rsidRPr="00391F66">
              <w:rPr>
                <w:b/>
                <w:bCs/>
              </w:rPr>
              <w:t> </w:t>
            </w:r>
          </w:p>
        </w:tc>
      </w:tr>
      <w:tr w:rsidR="00391F66" w:rsidRPr="00391F66" w14:paraId="4BE8CED4" w14:textId="77777777" w:rsidTr="006B749C">
        <w:trPr>
          <w:trHeight w:val="1125"/>
        </w:trPr>
        <w:tc>
          <w:tcPr>
            <w:tcW w:w="3964" w:type="dxa"/>
            <w:noWrap/>
            <w:vAlign w:val="center"/>
            <w:hideMark/>
          </w:tcPr>
          <w:p w14:paraId="635E428A" w14:textId="77777777" w:rsidR="00391F66" w:rsidRPr="00391F66" w:rsidRDefault="00391F66" w:rsidP="006B749C">
            <w:pPr>
              <w:pStyle w:val="RepStandard"/>
              <w:spacing w:before="120" w:after="120"/>
              <w:jc w:val="left"/>
              <w:rPr>
                <w:b/>
                <w:bCs/>
              </w:rPr>
            </w:pPr>
            <w:r w:rsidRPr="00391F66">
              <w:rPr>
                <w:b/>
                <w:bCs/>
              </w:rPr>
              <w:t xml:space="preserve">Step 4: </w:t>
            </w:r>
            <w:proofErr w:type="spellStart"/>
            <w:r w:rsidRPr="00391F66">
              <w:rPr>
                <w:b/>
                <w:bCs/>
              </w:rPr>
              <w:t>ETRmix</w:t>
            </w:r>
            <w:proofErr w:type="spellEnd"/>
            <w:r w:rsidRPr="00391F66">
              <w:rPr>
                <w:b/>
                <w:bCs/>
              </w:rPr>
              <w:t xml:space="preserve"> assessment (</w:t>
            </w:r>
            <w:proofErr w:type="spellStart"/>
            <w:r w:rsidRPr="00391F66">
              <w:rPr>
                <w:b/>
                <w:bCs/>
              </w:rPr>
              <w:t>ECxPPP</w:t>
            </w:r>
            <w:proofErr w:type="spellEnd"/>
            <w:r w:rsidRPr="00391F66">
              <w:rPr>
                <w:b/>
                <w:bCs/>
              </w:rPr>
              <w:t>)</w:t>
            </w:r>
          </w:p>
        </w:tc>
        <w:tc>
          <w:tcPr>
            <w:tcW w:w="2658" w:type="dxa"/>
            <w:hideMark/>
          </w:tcPr>
          <w:p w14:paraId="322B8259"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4A345E7B"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56197FD4"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2B49DE7B" w14:textId="77777777" w:rsidR="00391F66" w:rsidRPr="00391F66" w:rsidRDefault="00391F66" w:rsidP="00391F66">
            <w:pPr>
              <w:pStyle w:val="RepStandard"/>
              <w:spacing w:before="120" w:after="120"/>
              <w:jc w:val="left"/>
              <w:rPr>
                <w:b/>
                <w:bCs/>
              </w:rPr>
            </w:pPr>
            <w:r w:rsidRPr="00391F66">
              <w:rPr>
                <w:b/>
                <w:bCs/>
              </w:rPr>
              <w:t> </w:t>
            </w:r>
          </w:p>
        </w:tc>
      </w:tr>
      <w:tr w:rsidR="00391F66" w:rsidRPr="00391F66" w14:paraId="2BB3B200" w14:textId="77777777" w:rsidTr="006B749C">
        <w:trPr>
          <w:trHeight w:val="1125"/>
        </w:trPr>
        <w:tc>
          <w:tcPr>
            <w:tcW w:w="3964" w:type="dxa"/>
            <w:noWrap/>
            <w:vAlign w:val="center"/>
            <w:hideMark/>
          </w:tcPr>
          <w:p w14:paraId="3D53730F" w14:textId="77777777" w:rsidR="00391F66" w:rsidRPr="00391F66" w:rsidRDefault="00391F66" w:rsidP="006B749C">
            <w:pPr>
              <w:pStyle w:val="RepStandard"/>
              <w:spacing w:before="120" w:after="120"/>
              <w:jc w:val="left"/>
              <w:rPr>
                <w:b/>
                <w:bCs/>
              </w:rPr>
            </w:pPr>
            <w:r w:rsidRPr="00391F66">
              <w:rPr>
                <w:b/>
                <w:bCs/>
              </w:rPr>
              <w:lastRenderedPageBreak/>
              <w:t>Step 5: driver available?</w:t>
            </w:r>
          </w:p>
        </w:tc>
        <w:tc>
          <w:tcPr>
            <w:tcW w:w="2658" w:type="dxa"/>
            <w:hideMark/>
          </w:tcPr>
          <w:p w14:paraId="4571CA56"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396C0E73"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01731704"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3746A1A3" w14:textId="77777777" w:rsidR="00391F66" w:rsidRPr="00391F66" w:rsidRDefault="00391F66" w:rsidP="00391F66">
            <w:pPr>
              <w:pStyle w:val="RepStandard"/>
              <w:spacing w:before="120" w:after="120"/>
              <w:jc w:val="left"/>
              <w:rPr>
                <w:b/>
                <w:bCs/>
              </w:rPr>
            </w:pPr>
            <w:r w:rsidRPr="00391F66">
              <w:rPr>
                <w:b/>
                <w:bCs/>
              </w:rPr>
              <w:t> </w:t>
            </w:r>
          </w:p>
        </w:tc>
      </w:tr>
      <w:tr w:rsidR="00391F66" w:rsidRPr="00391F66" w14:paraId="6987A512" w14:textId="77777777" w:rsidTr="006B749C">
        <w:trPr>
          <w:trHeight w:val="1125"/>
        </w:trPr>
        <w:tc>
          <w:tcPr>
            <w:tcW w:w="3964" w:type="dxa"/>
            <w:noWrap/>
            <w:vAlign w:val="center"/>
            <w:hideMark/>
          </w:tcPr>
          <w:p w14:paraId="27C06964" w14:textId="77777777" w:rsidR="00391F66" w:rsidRPr="00391F66" w:rsidRDefault="00391F66" w:rsidP="006B749C">
            <w:pPr>
              <w:pStyle w:val="RepStandard"/>
              <w:spacing w:before="120" w:after="120"/>
              <w:jc w:val="left"/>
              <w:rPr>
                <w:b/>
                <w:bCs/>
              </w:rPr>
            </w:pPr>
            <w:r w:rsidRPr="00391F66">
              <w:rPr>
                <w:b/>
                <w:bCs/>
              </w:rPr>
              <w:t>Step 6: driver assessment</w:t>
            </w:r>
          </w:p>
        </w:tc>
        <w:tc>
          <w:tcPr>
            <w:tcW w:w="2658" w:type="dxa"/>
            <w:hideMark/>
          </w:tcPr>
          <w:p w14:paraId="1B97EE6F"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2EA2C848"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35EA2F39"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742278F8" w14:textId="77777777" w:rsidR="00391F66" w:rsidRPr="00391F66" w:rsidRDefault="00391F66" w:rsidP="00391F66">
            <w:pPr>
              <w:pStyle w:val="RepStandard"/>
              <w:spacing w:before="120" w:after="120"/>
              <w:jc w:val="left"/>
              <w:rPr>
                <w:b/>
                <w:bCs/>
              </w:rPr>
            </w:pPr>
            <w:r w:rsidRPr="00391F66">
              <w:rPr>
                <w:b/>
                <w:bCs/>
              </w:rPr>
              <w:t> </w:t>
            </w:r>
          </w:p>
        </w:tc>
      </w:tr>
      <w:tr w:rsidR="00391F66" w:rsidRPr="00391F66" w14:paraId="10384857" w14:textId="77777777" w:rsidTr="006B749C">
        <w:trPr>
          <w:trHeight w:val="1125"/>
        </w:trPr>
        <w:tc>
          <w:tcPr>
            <w:tcW w:w="3964" w:type="dxa"/>
            <w:noWrap/>
            <w:vAlign w:val="center"/>
            <w:hideMark/>
          </w:tcPr>
          <w:p w14:paraId="13D4A1CC" w14:textId="77777777" w:rsidR="00391F66" w:rsidRPr="00391F66" w:rsidRDefault="00391F66" w:rsidP="006B749C">
            <w:pPr>
              <w:pStyle w:val="RepStandard"/>
              <w:spacing w:before="120" w:after="120"/>
              <w:jc w:val="left"/>
              <w:rPr>
                <w:b/>
                <w:bCs/>
              </w:rPr>
            </w:pPr>
            <w:r w:rsidRPr="00391F66">
              <w:rPr>
                <w:b/>
                <w:bCs/>
              </w:rPr>
              <w:t>Step 7: synergism assessment (few data)</w:t>
            </w:r>
          </w:p>
        </w:tc>
        <w:tc>
          <w:tcPr>
            <w:tcW w:w="2658" w:type="dxa"/>
            <w:hideMark/>
          </w:tcPr>
          <w:p w14:paraId="5F4FC50E"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1247A1E6"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611AB90A"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59398F38" w14:textId="77777777" w:rsidR="00391F66" w:rsidRPr="00391F66" w:rsidRDefault="00391F66" w:rsidP="00391F66">
            <w:pPr>
              <w:pStyle w:val="RepStandard"/>
              <w:spacing w:before="120" w:after="120"/>
              <w:jc w:val="left"/>
              <w:rPr>
                <w:b/>
                <w:bCs/>
              </w:rPr>
            </w:pPr>
            <w:r w:rsidRPr="00391F66">
              <w:rPr>
                <w:b/>
                <w:bCs/>
              </w:rPr>
              <w:t> </w:t>
            </w:r>
          </w:p>
        </w:tc>
      </w:tr>
      <w:tr w:rsidR="00391F66" w:rsidRPr="00391F66" w14:paraId="7ABCF58F" w14:textId="77777777" w:rsidTr="006B749C">
        <w:trPr>
          <w:trHeight w:val="1125"/>
        </w:trPr>
        <w:tc>
          <w:tcPr>
            <w:tcW w:w="3964" w:type="dxa"/>
            <w:noWrap/>
            <w:vAlign w:val="center"/>
            <w:hideMark/>
          </w:tcPr>
          <w:p w14:paraId="5A3BE1C8" w14:textId="77777777" w:rsidR="00391F66" w:rsidRPr="00391F66" w:rsidRDefault="00391F66" w:rsidP="006B749C">
            <w:pPr>
              <w:pStyle w:val="RepStandard"/>
              <w:spacing w:before="120" w:after="120"/>
              <w:jc w:val="left"/>
              <w:rPr>
                <w:b/>
                <w:bCs/>
              </w:rPr>
            </w:pPr>
            <w:r w:rsidRPr="00391F66">
              <w:rPr>
                <w:b/>
                <w:bCs/>
              </w:rPr>
              <w:t xml:space="preserve">Step 8a: </w:t>
            </w:r>
            <w:proofErr w:type="spellStart"/>
            <w:r w:rsidRPr="00391F66">
              <w:rPr>
                <w:b/>
                <w:bCs/>
              </w:rPr>
              <w:t>ETRmix</w:t>
            </w:r>
            <w:proofErr w:type="spellEnd"/>
            <w:r w:rsidRPr="00391F66">
              <w:rPr>
                <w:b/>
                <w:bCs/>
              </w:rPr>
              <w:t xml:space="preserve"> assessment</w:t>
            </w:r>
          </w:p>
        </w:tc>
        <w:tc>
          <w:tcPr>
            <w:tcW w:w="2658" w:type="dxa"/>
            <w:hideMark/>
          </w:tcPr>
          <w:p w14:paraId="4651ADFE"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468CB82C"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1F825417"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65E0C39B" w14:textId="77777777" w:rsidR="00391F66" w:rsidRPr="00391F66" w:rsidRDefault="00391F66" w:rsidP="00391F66">
            <w:pPr>
              <w:pStyle w:val="RepStandard"/>
              <w:spacing w:before="120" w:after="120"/>
              <w:jc w:val="left"/>
              <w:rPr>
                <w:b/>
                <w:bCs/>
              </w:rPr>
            </w:pPr>
            <w:r w:rsidRPr="00391F66">
              <w:rPr>
                <w:b/>
                <w:bCs/>
              </w:rPr>
              <w:t> </w:t>
            </w:r>
          </w:p>
        </w:tc>
      </w:tr>
      <w:tr w:rsidR="00391F66" w:rsidRPr="00391F66" w14:paraId="74F80BCB" w14:textId="77777777" w:rsidTr="006B749C">
        <w:trPr>
          <w:trHeight w:val="1125"/>
        </w:trPr>
        <w:tc>
          <w:tcPr>
            <w:tcW w:w="3964" w:type="dxa"/>
            <w:noWrap/>
            <w:vAlign w:val="center"/>
            <w:hideMark/>
          </w:tcPr>
          <w:p w14:paraId="3E257080" w14:textId="77777777" w:rsidR="00391F66" w:rsidRPr="00391F66" w:rsidRDefault="00391F66" w:rsidP="006B749C">
            <w:pPr>
              <w:pStyle w:val="RepStandard"/>
              <w:spacing w:before="120" w:after="120"/>
              <w:jc w:val="left"/>
              <w:rPr>
                <w:b/>
                <w:bCs/>
              </w:rPr>
            </w:pPr>
            <w:r w:rsidRPr="00391F66">
              <w:rPr>
                <w:b/>
                <w:bCs/>
              </w:rPr>
              <w:t xml:space="preserve">Step 8b: </w:t>
            </w:r>
            <w:proofErr w:type="spellStart"/>
            <w:r w:rsidRPr="00391F66">
              <w:rPr>
                <w:b/>
                <w:bCs/>
              </w:rPr>
              <w:t>RQmix</w:t>
            </w:r>
            <w:proofErr w:type="spellEnd"/>
            <w:r w:rsidRPr="00391F66">
              <w:rPr>
                <w:b/>
                <w:bCs/>
              </w:rPr>
              <w:t xml:space="preserve"> assessment</w:t>
            </w:r>
          </w:p>
        </w:tc>
        <w:tc>
          <w:tcPr>
            <w:tcW w:w="2658" w:type="dxa"/>
            <w:hideMark/>
          </w:tcPr>
          <w:p w14:paraId="3D59BA96"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3657EF66"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6687ECE6"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07983363" w14:textId="77777777" w:rsidR="00391F66" w:rsidRPr="00391F66" w:rsidRDefault="00391F66" w:rsidP="00391F66">
            <w:pPr>
              <w:pStyle w:val="RepStandard"/>
              <w:spacing w:before="120" w:after="120"/>
              <w:jc w:val="left"/>
              <w:rPr>
                <w:b/>
                <w:bCs/>
              </w:rPr>
            </w:pPr>
            <w:r w:rsidRPr="00391F66">
              <w:rPr>
                <w:b/>
                <w:bCs/>
              </w:rPr>
              <w:t> </w:t>
            </w:r>
          </w:p>
        </w:tc>
      </w:tr>
      <w:tr w:rsidR="00391F66" w:rsidRPr="00391F66" w14:paraId="7068F9A5" w14:textId="77777777" w:rsidTr="006B749C">
        <w:trPr>
          <w:trHeight w:val="1125"/>
        </w:trPr>
        <w:tc>
          <w:tcPr>
            <w:tcW w:w="3964" w:type="dxa"/>
            <w:noWrap/>
            <w:vAlign w:val="center"/>
            <w:hideMark/>
          </w:tcPr>
          <w:p w14:paraId="6AE958BD" w14:textId="77777777" w:rsidR="00391F66" w:rsidRPr="00391F66" w:rsidRDefault="00391F66" w:rsidP="006B749C">
            <w:pPr>
              <w:pStyle w:val="RepStandard"/>
              <w:spacing w:before="120" w:after="120"/>
              <w:jc w:val="left"/>
              <w:rPr>
                <w:b/>
                <w:bCs/>
              </w:rPr>
            </w:pPr>
            <w:r w:rsidRPr="00391F66">
              <w:rPr>
                <w:b/>
                <w:bCs/>
              </w:rPr>
              <w:t>Step 9: antagonism assessment</w:t>
            </w:r>
          </w:p>
        </w:tc>
        <w:tc>
          <w:tcPr>
            <w:tcW w:w="2658" w:type="dxa"/>
            <w:hideMark/>
          </w:tcPr>
          <w:p w14:paraId="14FE3D61"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7885694F"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3125E8F2"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16665F76" w14:textId="77777777" w:rsidR="00391F66" w:rsidRPr="00391F66" w:rsidRDefault="00391F66" w:rsidP="00391F66">
            <w:pPr>
              <w:pStyle w:val="RepStandard"/>
              <w:spacing w:before="120" w:after="120"/>
              <w:jc w:val="left"/>
              <w:rPr>
                <w:b/>
                <w:bCs/>
              </w:rPr>
            </w:pPr>
            <w:r w:rsidRPr="00391F66">
              <w:rPr>
                <w:b/>
                <w:bCs/>
              </w:rPr>
              <w:t> </w:t>
            </w:r>
          </w:p>
        </w:tc>
      </w:tr>
      <w:tr w:rsidR="00391F66" w:rsidRPr="00391F66" w14:paraId="78B92F10" w14:textId="77777777" w:rsidTr="006B749C">
        <w:trPr>
          <w:trHeight w:val="1125"/>
        </w:trPr>
        <w:tc>
          <w:tcPr>
            <w:tcW w:w="3964" w:type="dxa"/>
            <w:noWrap/>
            <w:vAlign w:val="center"/>
            <w:hideMark/>
          </w:tcPr>
          <w:p w14:paraId="063E2F99" w14:textId="77777777" w:rsidR="00391F66" w:rsidRPr="00391F66" w:rsidRDefault="00391F66" w:rsidP="006B749C">
            <w:pPr>
              <w:pStyle w:val="RepStandard"/>
              <w:spacing w:before="120" w:after="120"/>
              <w:jc w:val="left"/>
              <w:rPr>
                <w:b/>
                <w:bCs/>
              </w:rPr>
            </w:pPr>
            <w:r w:rsidRPr="00391F66">
              <w:rPr>
                <w:b/>
                <w:bCs/>
              </w:rPr>
              <w:t>Step 10: synergism assessment</w:t>
            </w:r>
          </w:p>
        </w:tc>
        <w:tc>
          <w:tcPr>
            <w:tcW w:w="2658" w:type="dxa"/>
            <w:hideMark/>
          </w:tcPr>
          <w:p w14:paraId="1AB4AF6A"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20BA3D24"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23C85A6F" w14:textId="77777777" w:rsidR="00391F66" w:rsidRPr="00391F66" w:rsidRDefault="00391F66" w:rsidP="00391F66">
            <w:pPr>
              <w:pStyle w:val="RepStandard"/>
              <w:spacing w:before="120" w:after="120"/>
              <w:jc w:val="left"/>
              <w:rPr>
                <w:b/>
                <w:bCs/>
              </w:rPr>
            </w:pPr>
            <w:r w:rsidRPr="00391F66">
              <w:rPr>
                <w:b/>
                <w:bCs/>
              </w:rPr>
              <w:t> </w:t>
            </w:r>
          </w:p>
        </w:tc>
        <w:tc>
          <w:tcPr>
            <w:tcW w:w="2658" w:type="dxa"/>
            <w:hideMark/>
          </w:tcPr>
          <w:p w14:paraId="58420B52" w14:textId="77777777" w:rsidR="00391F66" w:rsidRPr="00391F66" w:rsidRDefault="00391F66" w:rsidP="00391F66">
            <w:pPr>
              <w:pStyle w:val="RepStandard"/>
              <w:spacing w:before="120" w:after="120"/>
              <w:jc w:val="left"/>
              <w:rPr>
                <w:b/>
                <w:bCs/>
              </w:rPr>
            </w:pPr>
            <w:r w:rsidRPr="00391F66">
              <w:rPr>
                <w:b/>
                <w:bCs/>
              </w:rPr>
              <w:t> </w:t>
            </w:r>
          </w:p>
        </w:tc>
      </w:tr>
    </w:tbl>
    <w:p w14:paraId="23257146" w14:textId="6E775D5F" w:rsidR="00391F66" w:rsidRDefault="00391F66" w:rsidP="00AA2133">
      <w:pPr>
        <w:pStyle w:val="RepStandard"/>
        <w:spacing w:before="120" w:after="120"/>
        <w:jc w:val="left"/>
        <w:rPr>
          <w:lang w:val="en-US"/>
        </w:rPr>
      </w:pPr>
    </w:p>
    <w:p w14:paraId="7650061B" w14:textId="77777777" w:rsidR="00391F66" w:rsidRDefault="00391F66" w:rsidP="00AA2133">
      <w:pPr>
        <w:pStyle w:val="RepStandard"/>
        <w:spacing w:before="120" w:after="120"/>
        <w:jc w:val="left"/>
        <w:rPr>
          <w:lang w:val="en-US"/>
        </w:rPr>
        <w:sectPr w:rsidR="00391F66" w:rsidSect="00391F66">
          <w:pgSz w:w="16838" w:h="11906" w:orient="landscape"/>
          <w:pgMar w:top="1417" w:right="1417" w:bottom="1417" w:left="1134" w:header="708" w:footer="708" w:gutter="0"/>
          <w:cols w:space="708"/>
          <w:docGrid w:linePitch="360"/>
        </w:sectPr>
      </w:pPr>
    </w:p>
    <w:p w14:paraId="13E44540" w14:textId="19279D97" w:rsidR="00F24EF6" w:rsidRDefault="00613169" w:rsidP="00AA2133">
      <w:pPr>
        <w:pStyle w:val="RepStandard"/>
        <w:spacing w:before="120" w:after="120"/>
        <w:rPr>
          <w:lang w:val="en-US"/>
        </w:rPr>
      </w:pPr>
      <w:r w:rsidRPr="00F7790D">
        <w:rPr>
          <w:b/>
          <w:lang w:val="en-US"/>
        </w:rPr>
        <w:t>Overview of the assessment steps:</w:t>
      </w:r>
      <w:r w:rsidRPr="00F7790D">
        <w:rPr>
          <w:lang w:val="en-US"/>
        </w:rPr>
        <w:t xml:space="preserve"> </w:t>
      </w:r>
      <w:r w:rsidRPr="00F7790D">
        <w:rPr>
          <w:lang w:val="en-US"/>
        </w:rPr>
        <w:fldChar w:fldCharType="begin"/>
      </w:r>
      <w:r w:rsidRPr="00F7790D">
        <w:rPr>
          <w:lang w:val="en-US"/>
        </w:rPr>
        <w:instrText xml:space="preserve"> REF _Ref127181491 \h </w:instrText>
      </w:r>
      <w:r w:rsidRPr="00F7790D">
        <w:rPr>
          <w:lang w:val="en-US"/>
        </w:rPr>
      </w:r>
      <w:r w:rsidRPr="00F7790D">
        <w:rPr>
          <w:lang w:val="en-US"/>
        </w:rPr>
        <w:fldChar w:fldCharType="separate"/>
      </w:r>
      <w:r w:rsidR="00EE5667" w:rsidRPr="00613169">
        <w:t xml:space="preserve">Table </w:t>
      </w:r>
      <w:r w:rsidR="00EE5667">
        <w:rPr>
          <w:noProof/>
        </w:rPr>
        <w:t>9.5.2.2</w:t>
      </w:r>
      <w:r w:rsidR="00EE5667" w:rsidRPr="005F2574">
        <w:noBreakHyphen/>
      </w:r>
      <w:r w:rsidR="00EE5667">
        <w:rPr>
          <w:noProof/>
        </w:rPr>
        <w:t>1</w:t>
      </w:r>
      <w:r w:rsidRPr="00F7790D">
        <w:rPr>
          <w:lang w:val="en-US"/>
        </w:rPr>
        <w:fldChar w:fldCharType="end"/>
      </w:r>
      <w:r w:rsidRPr="00F7790D">
        <w:rPr>
          <w:lang w:val="en-US"/>
        </w:rPr>
        <w:t xml:space="preserve"> gives a</w:t>
      </w:r>
      <w:r w:rsidR="006B749C">
        <w:rPr>
          <w:lang w:val="en-US"/>
        </w:rPr>
        <w:t xml:space="preserve"> summary </w:t>
      </w:r>
      <w:r w:rsidRPr="00F7790D">
        <w:rPr>
          <w:lang w:val="en-US"/>
        </w:rPr>
        <w:t xml:space="preserve">of the decisions </w:t>
      </w:r>
      <w:r w:rsidR="000C0812" w:rsidRPr="00F7790D">
        <w:rPr>
          <w:lang w:val="en-US"/>
        </w:rPr>
        <w:t>made</w:t>
      </w:r>
      <w:r w:rsidR="009F565C" w:rsidRPr="00F7790D">
        <w:rPr>
          <w:lang w:val="en-US"/>
        </w:rPr>
        <w:t xml:space="preserve"> for each organism group</w:t>
      </w:r>
      <w:r w:rsidRPr="00F7790D">
        <w:rPr>
          <w:lang w:val="en-US"/>
        </w:rPr>
        <w:t xml:space="preserve"> during the </w:t>
      </w:r>
      <w:r w:rsidR="009F565C" w:rsidRPr="00F7790D">
        <w:rPr>
          <w:lang w:val="en-US"/>
        </w:rPr>
        <w:t xml:space="preserve">mixture risk </w:t>
      </w:r>
      <w:r w:rsidRPr="00F7790D">
        <w:rPr>
          <w:lang w:val="en-US"/>
        </w:rPr>
        <w:t xml:space="preserve">assessment </w:t>
      </w:r>
      <w:r w:rsidR="000C0812" w:rsidRPr="00F7790D">
        <w:rPr>
          <w:lang w:val="en-US"/>
        </w:rPr>
        <w:t xml:space="preserve">with respect to the </w:t>
      </w:r>
      <w:r w:rsidR="000C0812" w:rsidRPr="00F7790D">
        <w:t>decision scheme as provided by EFSA (2013, section 10.3.11)</w:t>
      </w:r>
      <w:r w:rsidRPr="00F7790D">
        <w:rPr>
          <w:lang w:val="en-US"/>
        </w:rPr>
        <w:t xml:space="preserve">. </w:t>
      </w:r>
      <w:r w:rsidR="00F24EF6" w:rsidRPr="00F7790D">
        <w:rPr>
          <w:lang w:val="en-US"/>
        </w:rPr>
        <w:t xml:space="preserve">A discussion of </w:t>
      </w:r>
      <w:r w:rsidR="000C0812" w:rsidRPr="00F7790D">
        <w:rPr>
          <w:lang w:val="en-US"/>
        </w:rPr>
        <w:t>all</w:t>
      </w:r>
      <w:r w:rsidR="00F24EF6" w:rsidRPr="00F7790D">
        <w:rPr>
          <w:lang w:val="en-US"/>
        </w:rPr>
        <w:t xml:space="preserve"> details of every decision is not intended in this</w:t>
      </w:r>
      <w:r w:rsidR="001A5744">
        <w:rPr>
          <w:lang w:val="en-US"/>
        </w:rPr>
        <w:t xml:space="preserve"> section of this</w:t>
      </w:r>
      <w:r w:rsidR="00F24EF6" w:rsidRPr="00F7790D">
        <w:rPr>
          <w:lang w:val="en-US"/>
        </w:rPr>
        <w:t xml:space="preserve"> </w:t>
      </w:r>
      <w:r w:rsidR="000C0812" w:rsidRPr="00F7790D">
        <w:rPr>
          <w:lang w:val="en-US"/>
        </w:rPr>
        <w:t xml:space="preserve">registration </w:t>
      </w:r>
      <w:r w:rsidR="00F24EF6" w:rsidRPr="00F7790D">
        <w:rPr>
          <w:lang w:val="en-US"/>
        </w:rPr>
        <w:t xml:space="preserve">report. </w:t>
      </w:r>
      <w:r w:rsidRPr="00F7790D">
        <w:rPr>
          <w:lang w:val="en-US"/>
        </w:rPr>
        <w:t xml:space="preserve">Further </w:t>
      </w:r>
      <w:r w:rsidR="000C0812" w:rsidRPr="00F7790D">
        <w:rPr>
          <w:lang w:val="en-US"/>
        </w:rPr>
        <w:t xml:space="preserve">in-depth </w:t>
      </w:r>
      <w:r w:rsidRPr="00F7790D">
        <w:rPr>
          <w:lang w:val="en-US"/>
        </w:rPr>
        <w:t>justification</w:t>
      </w:r>
      <w:r w:rsidR="009F565C" w:rsidRPr="00F7790D">
        <w:rPr>
          <w:lang w:val="en-US"/>
        </w:rPr>
        <w:t xml:space="preserve"> and explanation</w:t>
      </w:r>
      <w:r w:rsidRPr="00F7790D">
        <w:rPr>
          <w:lang w:val="en-US"/>
        </w:rPr>
        <w:t xml:space="preserve"> for the </w:t>
      </w:r>
      <w:r w:rsidR="000C0812" w:rsidRPr="00F7790D">
        <w:rPr>
          <w:lang w:val="en-US"/>
        </w:rPr>
        <w:t>decisions made</w:t>
      </w:r>
      <w:r w:rsidRPr="00F7790D">
        <w:rPr>
          <w:lang w:val="en-US"/>
        </w:rPr>
        <w:t xml:space="preserve"> </w:t>
      </w:r>
      <w:r w:rsidR="00326009">
        <w:rPr>
          <w:lang w:val="en-US"/>
        </w:rPr>
        <w:t>are</w:t>
      </w:r>
      <w:r w:rsidRPr="00F7790D">
        <w:rPr>
          <w:lang w:val="en-US"/>
        </w:rPr>
        <w:t xml:space="preserve"> </w:t>
      </w:r>
      <w:r w:rsidR="000C0812" w:rsidRPr="00F7790D">
        <w:rPr>
          <w:lang w:val="en-US"/>
        </w:rPr>
        <w:t>documented</w:t>
      </w:r>
      <w:r w:rsidRPr="00F7790D">
        <w:rPr>
          <w:lang w:val="en-US"/>
        </w:rPr>
        <w:t xml:space="preserve"> </w:t>
      </w:r>
      <w:r w:rsidRPr="007414DD">
        <w:rPr>
          <w:lang w:val="en-US"/>
        </w:rPr>
        <w:t xml:space="preserve">in the </w:t>
      </w:r>
      <w:r w:rsidRPr="00F7790D">
        <w:rPr>
          <w:highlight w:val="yellow"/>
          <w:lang w:val="en-US"/>
        </w:rPr>
        <w:t xml:space="preserve">attached </w:t>
      </w:r>
      <w:r w:rsidR="00B42C5B">
        <w:rPr>
          <w:highlight w:val="yellow"/>
        </w:rPr>
        <w:t>mixture risk calculation</w:t>
      </w:r>
      <w:r w:rsidR="00B42C5B" w:rsidRPr="00F7790D">
        <w:rPr>
          <w:highlight w:val="yellow"/>
          <w:lang w:val="en-US"/>
        </w:rPr>
        <w:t xml:space="preserve"> </w:t>
      </w:r>
      <w:r w:rsidR="009E64A5">
        <w:rPr>
          <w:highlight w:val="yellow"/>
          <w:lang w:val="en-US"/>
        </w:rPr>
        <w:t>file</w:t>
      </w:r>
      <w:r w:rsidRPr="00F7790D">
        <w:rPr>
          <w:highlight w:val="yellow"/>
          <w:lang w:val="en-US"/>
        </w:rPr>
        <w:t xml:space="preserve"> / Appendix XXX / </w:t>
      </w:r>
      <w:r w:rsidR="00F24EF6" w:rsidRPr="00F7790D">
        <w:rPr>
          <w:highlight w:val="yellow"/>
          <w:lang w:val="en-US"/>
        </w:rPr>
        <w:t xml:space="preserve">following: </w:t>
      </w:r>
      <w:r w:rsidR="009F565C" w:rsidRPr="00F7790D">
        <w:rPr>
          <w:highlight w:val="yellow"/>
          <w:lang w:val="en-US"/>
        </w:rPr>
        <w:t>&lt;add explanation&gt;</w:t>
      </w:r>
      <w:r w:rsidR="007414DD">
        <w:rPr>
          <w:highlight w:val="yellow"/>
          <w:lang w:val="en-US"/>
        </w:rPr>
        <w:t>.</w:t>
      </w:r>
      <w:r w:rsidR="000C0812" w:rsidRPr="00F7790D">
        <w:rPr>
          <w:highlight w:val="yellow"/>
          <w:lang w:val="en-US"/>
        </w:rPr>
        <w:t xml:space="preserve"> </w:t>
      </w:r>
      <w:r w:rsidR="00952BC2" w:rsidRPr="00F7790D">
        <w:rPr>
          <w:lang w:val="en-US"/>
        </w:rPr>
        <w:t xml:space="preserve">However, at least data for some important steps are documented in this </w:t>
      </w:r>
      <w:r w:rsidR="00EE5667">
        <w:rPr>
          <w:lang w:val="en-US"/>
        </w:rPr>
        <w:t xml:space="preserve">section of this </w:t>
      </w:r>
      <w:r w:rsidR="00952BC2" w:rsidRPr="00F7790D">
        <w:rPr>
          <w:lang w:val="en-US"/>
        </w:rPr>
        <w:t>registration report, beginning with the check for (an</w:t>
      </w:r>
      <w:r w:rsidR="007414DD">
        <w:rPr>
          <w:lang w:val="en-US"/>
        </w:rPr>
        <w:t>d</w:t>
      </w:r>
      <w:r w:rsidR="00952BC2" w:rsidRPr="00F7790D">
        <w:rPr>
          <w:lang w:val="en-US"/>
        </w:rPr>
        <w:t xml:space="preserve"> potentially assessment of) synergistic or antagonistic effects</w:t>
      </w:r>
      <w:r w:rsidR="007414DD">
        <w:rPr>
          <w:lang w:val="en-US"/>
        </w:rPr>
        <w:t xml:space="preserve"> (Step 2 and Steps 7, 9 and 10)</w:t>
      </w:r>
      <w:r w:rsidR="009F565C" w:rsidRPr="00F7790D">
        <w:rPr>
          <w:lang w:val="en-US"/>
        </w:rPr>
        <w:t xml:space="preserve"> </w:t>
      </w:r>
      <w:r w:rsidR="007414DD">
        <w:rPr>
          <w:lang w:val="en-US"/>
        </w:rPr>
        <w:t>as well as</w:t>
      </w:r>
      <w:r w:rsidR="009F565C" w:rsidRPr="00F7790D">
        <w:rPr>
          <w:lang w:val="en-US"/>
        </w:rPr>
        <w:t xml:space="preserve"> the </w:t>
      </w:r>
      <w:proofErr w:type="spellStart"/>
      <w:r w:rsidR="009F565C" w:rsidRPr="00F7790D">
        <w:rPr>
          <w:lang w:val="en-US"/>
        </w:rPr>
        <w:t>ETR</w:t>
      </w:r>
      <w:r w:rsidR="006B749C" w:rsidRPr="006B749C">
        <w:rPr>
          <w:vertAlign w:val="subscript"/>
          <w:lang w:val="en-US"/>
        </w:rPr>
        <w:t>mix</w:t>
      </w:r>
      <w:proofErr w:type="spellEnd"/>
      <w:r w:rsidR="009F565C" w:rsidRPr="00F7790D">
        <w:rPr>
          <w:lang w:val="en-US"/>
        </w:rPr>
        <w:t xml:space="preserve"> or </w:t>
      </w:r>
      <w:proofErr w:type="spellStart"/>
      <w:r w:rsidR="009F565C" w:rsidRPr="00F7790D">
        <w:rPr>
          <w:lang w:val="en-US"/>
        </w:rPr>
        <w:t>RQ</w:t>
      </w:r>
      <w:r w:rsidR="009F565C" w:rsidRPr="006B749C">
        <w:rPr>
          <w:vertAlign w:val="subscript"/>
          <w:lang w:val="en-US"/>
        </w:rPr>
        <w:t>mix</w:t>
      </w:r>
      <w:proofErr w:type="spellEnd"/>
      <w:r w:rsidR="009F565C" w:rsidRPr="00F7790D">
        <w:rPr>
          <w:lang w:val="en-US"/>
        </w:rPr>
        <w:t xml:space="preserve"> calculation results for the </w:t>
      </w:r>
      <w:r w:rsidR="006B749C">
        <w:rPr>
          <w:lang w:val="en-US"/>
        </w:rPr>
        <w:t>assessed</w:t>
      </w:r>
      <w:r w:rsidR="009F565C" w:rsidRPr="00F7790D">
        <w:rPr>
          <w:lang w:val="en-US"/>
        </w:rPr>
        <w:t xml:space="preserve"> FOCUS Scenarios</w:t>
      </w:r>
      <w:r w:rsidR="007414DD">
        <w:rPr>
          <w:lang w:val="en-US"/>
        </w:rPr>
        <w:t xml:space="preserve"> (Steps 4 and 8a/b)</w:t>
      </w:r>
      <w:r w:rsidR="009F565C" w:rsidRPr="00F7790D">
        <w:rPr>
          <w:lang w:val="en-US"/>
        </w:rPr>
        <w:t>.</w:t>
      </w:r>
    </w:p>
    <w:p w14:paraId="1C8383E7" w14:textId="3540EF52" w:rsidR="00534C00" w:rsidRDefault="00534C00" w:rsidP="00AA2133">
      <w:pPr>
        <w:pStyle w:val="RepStandard"/>
        <w:spacing w:before="120" w:after="120"/>
        <w:rPr>
          <w:b/>
          <w:lang w:val="en-US"/>
        </w:rPr>
      </w:pPr>
      <w:r>
        <w:rPr>
          <w:b/>
          <w:lang w:val="en-US"/>
        </w:rPr>
        <w:t>Screening Assessment</w:t>
      </w:r>
    </w:p>
    <w:p w14:paraId="587B3D8C" w14:textId="0001C94A" w:rsidR="00A45426" w:rsidRDefault="00A45426" w:rsidP="00A45426">
      <w:pPr>
        <w:pStyle w:val="RepStandard"/>
        <w:pBdr>
          <w:top w:val="single" w:sz="4" w:space="1" w:color="auto" w:shadow="1"/>
          <w:left w:val="single" w:sz="4" w:space="4" w:color="auto" w:shadow="1"/>
          <w:bottom w:val="single" w:sz="4" w:space="1" w:color="auto" w:shadow="1"/>
          <w:right w:val="single" w:sz="4" w:space="4" w:color="auto" w:shadow="1"/>
        </w:pBdr>
        <w:shd w:val="clear" w:color="auto" w:fill="CCFFFF"/>
        <w:spacing w:before="120" w:after="120"/>
        <w:rPr>
          <w:shd w:val="clear" w:color="auto" w:fill="CCFFFF"/>
          <w:lang w:val="en-US"/>
        </w:rPr>
      </w:pPr>
      <w:r w:rsidRPr="00893D82">
        <w:rPr>
          <w:shd w:val="clear" w:color="auto" w:fill="CCFFFF"/>
          <w:lang w:val="en-US"/>
        </w:rPr>
        <w:t xml:space="preserve">In </w:t>
      </w:r>
      <w:r>
        <w:rPr>
          <w:shd w:val="clear" w:color="auto" w:fill="CCFFFF"/>
          <w:lang w:val="en-US"/>
        </w:rPr>
        <w:t xml:space="preserve">case Screening 1 suggests acceptable or </w:t>
      </w:r>
      <w:proofErr w:type="spellStart"/>
      <w:r>
        <w:rPr>
          <w:shd w:val="clear" w:color="auto" w:fill="CCFFFF"/>
          <w:lang w:val="en-US"/>
        </w:rPr>
        <w:t>unacceltable</w:t>
      </w:r>
      <w:proofErr w:type="spellEnd"/>
      <w:r>
        <w:rPr>
          <w:shd w:val="clear" w:color="auto" w:fill="CCFFFF"/>
          <w:lang w:val="en-US"/>
        </w:rPr>
        <w:t xml:space="preserve"> risks</w:t>
      </w:r>
      <w:r w:rsidR="00517EEC">
        <w:rPr>
          <w:shd w:val="clear" w:color="auto" w:fill="CCFFFF"/>
          <w:lang w:val="en-US"/>
        </w:rPr>
        <w:t xml:space="preserve"> for particular organism groups</w:t>
      </w:r>
      <w:r>
        <w:rPr>
          <w:shd w:val="clear" w:color="auto" w:fill="CCFFFF"/>
          <w:lang w:val="en-US"/>
        </w:rPr>
        <w:t>, it is possible to further explain the screening assessment results here.</w:t>
      </w:r>
    </w:p>
    <w:p w14:paraId="03462A87" w14:textId="1E137138" w:rsidR="00A45426" w:rsidRDefault="00A45426" w:rsidP="00A45426">
      <w:pPr>
        <w:pStyle w:val="RepStandard"/>
        <w:pBdr>
          <w:top w:val="single" w:sz="4" w:space="1" w:color="auto" w:shadow="1"/>
          <w:left w:val="single" w:sz="4" w:space="4" w:color="auto" w:shadow="1"/>
          <w:bottom w:val="single" w:sz="4" w:space="1" w:color="auto" w:shadow="1"/>
          <w:right w:val="single" w:sz="4" w:space="4" w:color="auto" w:shadow="1"/>
        </w:pBdr>
        <w:shd w:val="clear" w:color="auto" w:fill="CCFFFF"/>
        <w:spacing w:before="120" w:after="120"/>
        <w:rPr>
          <w:shd w:val="clear" w:color="auto" w:fill="CCFFFF"/>
          <w:lang w:val="en-US"/>
        </w:rPr>
      </w:pPr>
      <w:r w:rsidRPr="00893D82">
        <w:rPr>
          <w:shd w:val="clear" w:color="auto" w:fill="CCFFFF"/>
          <w:lang w:val="en-US"/>
        </w:rPr>
        <w:t xml:space="preserve">In </w:t>
      </w:r>
      <w:r>
        <w:rPr>
          <w:shd w:val="clear" w:color="auto" w:fill="CCFFFF"/>
          <w:lang w:val="en-US"/>
        </w:rPr>
        <w:t xml:space="preserve">case Screening 2 suggests the availability of a driver, please </w:t>
      </w:r>
      <w:r w:rsidR="00517EEC">
        <w:rPr>
          <w:shd w:val="clear" w:color="auto" w:fill="CCFFFF"/>
          <w:lang w:val="en-US"/>
        </w:rPr>
        <w:t xml:space="preserve">consider </w:t>
      </w:r>
      <w:r>
        <w:rPr>
          <w:shd w:val="clear" w:color="auto" w:fill="CCFFFF"/>
          <w:lang w:val="en-US"/>
        </w:rPr>
        <w:t>conduct</w:t>
      </w:r>
      <w:r w:rsidR="00517EEC">
        <w:rPr>
          <w:shd w:val="clear" w:color="auto" w:fill="CCFFFF"/>
          <w:lang w:val="en-US"/>
        </w:rPr>
        <w:t>ing</w:t>
      </w:r>
      <w:r>
        <w:rPr>
          <w:shd w:val="clear" w:color="auto" w:fill="CCFFFF"/>
          <w:lang w:val="en-US"/>
        </w:rPr>
        <w:t xml:space="preserve"> a normal </w:t>
      </w:r>
      <w:r w:rsidR="00517EEC">
        <w:rPr>
          <w:shd w:val="clear" w:color="auto" w:fill="CCFFFF"/>
          <w:lang w:val="en-US"/>
        </w:rPr>
        <w:t xml:space="preserve">mixture risk </w:t>
      </w:r>
      <w:r>
        <w:rPr>
          <w:shd w:val="clear" w:color="auto" w:fill="CCFFFF"/>
          <w:lang w:val="en-US"/>
        </w:rPr>
        <w:t xml:space="preserve">assessment as otherwise this </w:t>
      </w:r>
      <w:r w:rsidR="00517EEC">
        <w:rPr>
          <w:shd w:val="clear" w:color="auto" w:fill="CCFFFF"/>
          <w:lang w:val="en-US"/>
        </w:rPr>
        <w:t>c</w:t>
      </w:r>
      <w:r>
        <w:rPr>
          <w:shd w:val="clear" w:color="auto" w:fill="CCFFFF"/>
          <w:lang w:val="en-US"/>
        </w:rPr>
        <w:t xml:space="preserve">ould contradict the </w:t>
      </w:r>
      <w:r w:rsidRPr="00A45426">
        <w:rPr>
          <w:shd w:val="clear" w:color="auto" w:fill="CCFFFF"/>
          <w:lang w:val="en-US"/>
        </w:rPr>
        <w:t>decision scheme as provided by EFSA (2013, section 10.3.11).</w:t>
      </w:r>
      <w:r w:rsidR="00517EEC">
        <w:rPr>
          <w:shd w:val="clear" w:color="auto" w:fill="CCFFFF"/>
          <w:lang w:val="en-US"/>
        </w:rPr>
        <w:t xml:space="preserve"> Please, mind that a driver might be only available for some FOCUS Scenarios and for others a full mixture risk assessment may have to be conducted.</w:t>
      </w:r>
    </w:p>
    <w:p w14:paraId="6CBEA271" w14:textId="4DE2B92A" w:rsidR="00A45426" w:rsidRPr="00A45426" w:rsidRDefault="00A45426" w:rsidP="00AA2133">
      <w:pPr>
        <w:pStyle w:val="RepStandard"/>
        <w:spacing w:before="120" w:after="120"/>
        <w:rPr>
          <w:lang w:val="en-US"/>
        </w:rPr>
      </w:pPr>
      <w:r w:rsidRPr="00A45426">
        <w:rPr>
          <w:highlight w:val="yellow"/>
          <w:lang w:val="en-US"/>
        </w:rPr>
        <w:t>&lt;Screening results&gt;</w:t>
      </w:r>
    </w:p>
    <w:p w14:paraId="0DB5E317" w14:textId="4450D9C1" w:rsidR="00080FCD" w:rsidRDefault="00080FCD" w:rsidP="00AA2133">
      <w:pPr>
        <w:pStyle w:val="RepStandard"/>
        <w:spacing w:before="120" w:after="120"/>
        <w:rPr>
          <w:lang w:val="en-US"/>
        </w:rPr>
      </w:pPr>
      <w:r>
        <w:rPr>
          <w:b/>
          <w:lang w:val="en-US"/>
        </w:rPr>
        <w:t>S</w:t>
      </w:r>
      <w:r w:rsidRPr="00985D98">
        <w:rPr>
          <w:b/>
          <w:lang w:val="en-US"/>
        </w:rPr>
        <w:t>tep 2</w:t>
      </w:r>
      <w:r w:rsidRPr="00D94450">
        <w:rPr>
          <w:b/>
          <w:lang w:val="en-US"/>
        </w:rPr>
        <w:t xml:space="preserve">: </w:t>
      </w:r>
      <w:r w:rsidRPr="00D94450">
        <w:rPr>
          <w:lang w:val="en-US"/>
        </w:rPr>
        <w:t>MDR</w:t>
      </w:r>
      <w:r w:rsidR="000C0812">
        <w:rPr>
          <w:lang w:val="en-US"/>
        </w:rPr>
        <w:t xml:space="preserve"> calculation to check for synergistic or antagonistic effects</w:t>
      </w:r>
    </w:p>
    <w:p w14:paraId="4064183D" w14:textId="0DC6EAF6" w:rsidR="00080FCD" w:rsidRDefault="00080FCD" w:rsidP="007E32E5">
      <w:pPr>
        <w:pStyle w:val="RepStandard"/>
        <w:pBdr>
          <w:top w:val="single" w:sz="4" w:space="1" w:color="auto" w:shadow="1"/>
          <w:left w:val="single" w:sz="4" w:space="4" w:color="auto" w:shadow="1"/>
          <w:bottom w:val="single" w:sz="4" w:space="1" w:color="auto" w:shadow="1"/>
          <w:right w:val="single" w:sz="4" w:space="4" w:color="auto" w:shadow="1"/>
        </w:pBdr>
        <w:shd w:val="clear" w:color="auto" w:fill="CCFFFF"/>
        <w:spacing w:before="120" w:after="120"/>
        <w:rPr>
          <w:shd w:val="clear" w:color="auto" w:fill="CCFFFF"/>
          <w:lang w:val="en-US"/>
        </w:rPr>
      </w:pPr>
      <w:r w:rsidRPr="00893D82">
        <w:rPr>
          <w:shd w:val="clear" w:color="auto" w:fill="CCFFFF"/>
          <w:lang w:val="en-US"/>
        </w:rPr>
        <w:t>In this step the calculated mixture toxicity (</w:t>
      </w:r>
      <w:proofErr w:type="spellStart"/>
      <w:r w:rsidRPr="00893D82">
        <w:rPr>
          <w:shd w:val="clear" w:color="auto" w:fill="CCFFFF"/>
          <w:lang w:val="en-US"/>
        </w:rPr>
        <w:t>ECx</w:t>
      </w:r>
      <w:r w:rsidRPr="00893D82">
        <w:rPr>
          <w:shd w:val="clear" w:color="auto" w:fill="CCFFFF"/>
          <w:vertAlign w:val="subscript"/>
          <w:lang w:val="en-US"/>
        </w:rPr>
        <w:t>mix</w:t>
      </w:r>
      <w:proofErr w:type="spellEnd"/>
      <w:r w:rsidRPr="00893D82">
        <w:rPr>
          <w:shd w:val="clear" w:color="auto" w:fill="CCFFFF"/>
          <w:vertAlign w:val="subscript"/>
          <w:lang w:val="en-US"/>
        </w:rPr>
        <w:t>-CA</w:t>
      </w:r>
      <w:r w:rsidRPr="00893D82">
        <w:rPr>
          <w:shd w:val="clear" w:color="auto" w:fill="CCFFFF"/>
          <w:lang w:val="en-US"/>
        </w:rPr>
        <w:t xml:space="preserve">) is </w:t>
      </w:r>
      <w:r w:rsidR="00F1735A">
        <w:rPr>
          <w:shd w:val="clear" w:color="auto" w:fill="CCFFFF"/>
          <w:lang w:val="en-US"/>
        </w:rPr>
        <w:t>derived</w:t>
      </w:r>
      <w:r w:rsidR="00F1735A" w:rsidRPr="00893D82">
        <w:rPr>
          <w:shd w:val="clear" w:color="auto" w:fill="CCFFFF"/>
          <w:lang w:val="en-US"/>
        </w:rPr>
        <w:t xml:space="preserve"> </w:t>
      </w:r>
      <w:r w:rsidR="00007ABC">
        <w:rPr>
          <w:shd w:val="clear" w:color="auto" w:fill="CCFFFF"/>
          <w:lang w:val="en-US"/>
        </w:rPr>
        <w:t xml:space="preserve">and compared to </w:t>
      </w:r>
      <w:r w:rsidR="00007ABC" w:rsidRPr="00893D82">
        <w:rPr>
          <w:shd w:val="clear" w:color="auto" w:fill="CCFFFF"/>
          <w:lang w:val="en-US"/>
        </w:rPr>
        <w:t xml:space="preserve">the measured mixture toxicity (studies performed with the plant protection product, </w:t>
      </w:r>
      <w:proofErr w:type="spellStart"/>
      <w:r w:rsidR="00007ABC" w:rsidRPr="00893D82">
        <w:rPr>
          <w:shd w:val="clear" w:color="auto" w:fill="CCFFFF"/>
          <w:lang w:val="en-US"/>
        </w:rPr>
        <w:t>ECx</w:t>
      </w:r>
      <w:r w:rsidR="00007ABC" w:rsidRPr="00893D82">
        <w:rPr>
          <w:shd w:val="clear" w:color="auto" w:fill="CCFFFF"/>
          <w:vertAlign w:val="subscript"/>
          <w:lang w:val="en-US"/>
        </w:rPr>
        <w:t>PPP</w:t>
      </w:r>
      <w:proofErr w:type="spellEnd"/>
      <w:r w:rsidR="00007ABC" w:rsidRPr="00893D82">
        <w:rPr>
          <w:shd w:val="clear" w:color="auto" w:fill="CCFFFF"/>
          <w:lang w:val="en-US"/>
        </w:rPr>
        <w:t>)</w:t>
      </w:r>
      <w:r w:rsidR="00007ABC">
        <w:rPr>
          <w:shd w:val="clear" w:color="auto" w:fill="CCFFFF"/>
          <w:lang w:val="en-US"/>
        </w:rPr>
        <w:t xml:space="preserve"> in order to figure out if synergistic or antagonistic effects occur or the assumption of concentration addition (CA) holds </w:t>
      </w:r>
      <w:proofErr w:type="spellStart"/>
      <w:r w:rsidR="00007ABC">
        <w:rPr>
          <w:shd w:val="clear" w:color="auto" w:fill="CCFFFF"/>
          <w:lang w:val="en-US"/>
        </w:rPr>
        <w:t>ture</w:t>
      </w:r>
      <w:proofErr w:type="spellEnd"/>
      <w:r w:rsidR="00007ABC">
        <w:rPr>
          <w:shd w:val="clear" w:color="auto" w:fill="CCFFFF"/>
          <w:lang w:val="en-US"/>
        </w:rPr>
        <w:t xml:space="preserve">. </w:t>
      </w:r>
      <w:r w:rsidR="00007ABC">
        <w:rPr>
          <w:lang w:val="en-US"/>
        </w:rPr>
        <w:t xml:space="preserve">The calculation details and further explanations can be found in the calculation tool </w:t>
      </w:r>
      <w:r w:rsidR="00007ABC" w:rsidRPr="00F7790D">
        <w:rPr>
          <w:shd w:val="clear" w:color="auto" w:fill="CCFFFF"/>
          <w:lang w:val="en-US"/>
        </w:rPr>
        <w:t>“</w:t>
      </w:r>
      <w:proofErr w:type="spellStart"/>
      <w:r w:rsidR="00007ABC" w:rsidRPr="00F7790D">
        <w:rPr>
          <w:shd w:val="clear" w:color="auto" w:fill="CCFFFF"/>
          <w:lang w:val="en-US"/>
        </w:rPr>
        <w:t>AGD_AquaMix</w:t>
      </w:r>
      <w:proofErr w:type="spellEnd"/>
      <w:r w:rsidR="00007ABC" w:rsidRPr="00F7790D">
        <w:rPr>
          <w:shd w:val="clear" w:color="auto" w:fill="CCFFFF"/>
          <w:lang w:val="en-US"/>
        </w:rPr>
        <w:t>”</w:t>
      </w:r>
      <w:r w:rsidR="00007ABC">
        <w:rPr>
          <w:shd w:val="clear" w:color="auto" w:fill="CCFFFF"/>
          <w:lang w:val="en-US"/>
        </w:rPr>
        <w:t xml:space="preserve"> (sheet Step 2) and are not repeated here.</w:t>
      </w:r>
    </w:p>
    <w:p w14:paraId="5EA9FFFF" w14:textId="1674B9E8" w:rsidR="00080FCD" w:rsidRDefault="001A5744" w:rsidP="007E32E5">
      <w:pPr>
        <w:pStyle w:val="RepStandard"/>
        <w:pBdr>
          <w:top w:val="single" w:sz="4" w:space="1" w:color="auto" w:shadow="1"/>
          <w:left w:val="single" w:sz="4" w:space="4" w:color="auto" w:shadow="1"/>
          <w:bottom w:val="single" w:sz="4" w:space="1" w:color="auto" w:shadow="1"/>
          <w:right w:val="single" w:sz="4" w:space="4" w:color="auto" w:shadow="1"/>
        </w:pBdr>
        <w:shd w:val="clear" w:color="auto" w:fill="CCFFFF"/>
        <w:spacing w:before="120" w:after="120"/>
        <w:rPr>
          <w:shd w:val="clear" w:color="auto" w:fill="CCFFFF"/>
          <w:lang w:val="en-US"/>
        </w:rPr>
      </w:pPr>
      <w:r>
        <w:rPr>
          <w:shd w:val="clear" w:color="auto" w:fill="CCFFFF"/>
          <w:lang w:val="en-US"/>
        </w:rPr>
        <w:t xml:space="preserve">Note, that the </w:t>
      </w:r>
      <w:r w:rsidR="00080FCD" w:rsidRPr="00893D82">
        <w:rPr>
          <w:shd w:val="clear" w:color="auto" w:fill="CCFFFF"/>
          <w:lang w:val="en-US"/>
        </w:rPr>
        <w:t>MDR calculation should be based on the same species of a taxonomic group</w:t>
      </w:r>
      <w:r w:rsidR="00F1735A">
        <w:rPr>
          <w:shd w:val="clear" w:color="auto" w:fill="CCFFFF"/>
          <w:lang w:val="en-US"/>
        </w:rPr>
        <w:t xml:space="preserve"> of Tier 1 standard test species</w:t>
      </w:r>
      <w:r w:rsidR="00462FB8" w:rsidRPr="00462FB8">
        <w:rPr>
          <w:shd w:val="clear" w:color="auto" w:fill="CCFFFF"/>
          <w:lang w:val="en-US"/>
        </w:rPr>
        <w:t xml:space="preserve">. If same species are not available, use species as closely related as possible (e.g. </w:t>
      </w:r>
      <w:r w:rsidR="00516E9B">
        <w:rPr>
          <w:shd w:val="clear" w:color="auto" w:fill="CCFFFF"/>
          <w:lang w:val="en-US"/>
        </w:rPr>
        <w:t xml:space="preserve">two </w:t>
      </w:r>
      <w:r w:rsidR="00462FB8" w:rsidRPr="00462FB8">
        <w:rPr>
          <w:shd w:val="clear" w:color="auto" w:fill="CCFFFF"/>
          <w:lang w:val="en-US"/>
        </w:rPr>
        <w:t xml:space="preserve">species of green algae would be acceptable; but combining green algae and diatom or mixing </w:t>
      </w:r>
      <w:proofErr w:type="spellStart"/>
      <w:r w:rsidR="00462FB8" w:rsidRPr="00462FB8">
        <w:rPr>
          <w:shd w:val="clear" w:color="auto" w:fill="CCFFFF"/>
          <w:lang w:val="en-US"/>
        </w:rPr>
        <w:t>Lemna</w:t>
      </w:r>
      <w:proofErr w:type="spellEnd"/>
      <w:r w:rsidR="00462FB8" w:rsidRPr="00462FB8">
        <w:rPr>
          <w:shd w:val="clear" w:color="auto" w:fill="CCFFFF"/>
          <w:lang w:val="en-US"/>
        </w:rPr>
        <w:t xml:space="preserve"> and </w:t>
      </w:r>
      <w:proofErr w:type="spellStart"/>
      <w:r w:rsidR="00462FB8" w:rsidRPr="00462FB8">
        <w:rPr>
          <w:shd w:val="clear" w:color="auto" w:fill="CCFFFF"/>
          <w:lang w:val="en-US"/>
        </w:rPr>
        <w:t>Myriophyllum</w:t>
      </w:r>
      <w:proofErr w:type="spellEnd"/>
      <w:r w:rsidR="00462FB8" w:rsidRPr="00462FB8">
        <w:rPr>
          <w:shd w:val="clear" w:color="auto" w:fill="CCFFFF"/>
          <w:lang w:val="en-US"/>
        </w:rPr>
        <w:t xml:space="preserve"> is not acceptable); also use the same </w:t>
      </w:r>
      <w:r w:rsidR="00516E9B">
        <w:rPr>
          <w:shd w:val="clear" w:color="auto" w:fill="CCFFFF"/>
          <w:lang w:val="en-US"/>
        </w:rPr>
        <w:t>endpoint</w:t>
      </w:r>
      <w:r w:rsidR="00462FB8" w:rsidRPr="00462FB8">
        <w:rPr>
          <w:shd w:val="clear" w:color="auto" w:fill="CCFFFF"/>
          <w:lang w:val="en-US"/>
        </w:rPr>
        <w:t xml:space="preserve"> (e.g. only E</w:t>
      </w:r>
      <w:r w:rsidR="00462FB8" w:rsidRPr="00462FB8">
        <w:rPr>
          <w:shd w:val="clear" w:color="auto" w:fill="CCFFFF"/>
          <w:vertAlign w:val="subscript"/>
          <w:lang w:val="en-US"/>
        </w:rPr>
        <w:t>r</w:t>
      </w:r>
      <w:r w:rsidR="00462FB8" w:rsidRPr="00462FB8">
        <w:rPr>
          <w:shd w:val="clear" w:color="auto" w:fill="CCFFFF"/>
          <w:lang w:val="en-US"/>
        </w:rPr>
        <w:t>C</w:t>
      </w:r>
      <w:r w:rsidR="00462FB8" w:rsidRPr="00462FB8">
        <w:rPr>
          <w:shd w:val="clear" w:color="auto" w:fill="CCFFFF"/>
          <w:vertAlign w:val="subscript"/>
          <w:lang w:val="en-US"/>
        </w:rPr>
        <w:t>50</w:t>
      </w:r>
      <w:r w:rsidR="00462FB8" w:rsidRPr="00462FB8">
        <w:rPr>
          <w:shd w:val="clear" w:color="auto" w:fill="CCFFFF"/>
          <w:lang w:val="en-US"/>
        </w:rPr>
        <w:t>, or only E</w:t>
      </w:r>
      <w:r w:rsidR="00462FB8" w:rsidRPr="00462FB8">
        <w:rPr>
          <w:shd w:val="clear" w:color="auto" w:fill="CCFFFF"/>
          <w:vertAlign w:val="subscript"/>
          <w:lang w:val="en-US"/>
        </w:rPr>
        <w:t>b</w:t>
      </w:r>
      <w:r w:rsidR="00462FB8" w:rsidRPr="00462FB8">
        <w:rPr>
          <w:shd w:val="clear" w:color="auto" w:fill="CCFFFF"/>
          <w:lang w:val="en-US"/>
        </w:rPr>
        <w:t>C</w:t>
      </w:r>
      <w:r w:rsidR="00462FB8" w:rsidRPr="00462FB8">
        <w:rPr>
          <w:shd w:val="clear" w:color="auto" w:fill="CCFFFF"/>
          <w:vertAlign w:val="subscript"/>
          <w:lang w:val="en-US"/>
        </w:rPr>
        <w:t>50</w:t>
      </w:r>
      <w:r w:rsidR="00462FB8" w:rsidRPr="00462FB8">
        <w:rPr>
          <w:shd w:val="clear" w:color="auto" w:fill="CCFFFF"/>
          <w:lang w:val="en-US"/>
        </w:rPr>
        <w:t xml:space="preserve">).* </w:t>
      </w:r>
      <w:r w:rsidR="00080FCD" w:rsidRPr="00893D82">
        <w:rPr>
          <w:shd w:val="clear" w:color="auto" w:fill="CCFFFF"/>
          <w:lang w:val="en-US"/>
        </w:rPr>
        <w:t>Further, it should refer to the same calculation basis</w:t>
      </w:r>
      <w:r w:rsidR="00F1735A">
        <w:rPr>
          <w:shd w:val="clear" w:color="auto" w:fill="CCFFFF"/>
          <w:lang w:val="en-US"/>
        </w:rPr>
        <w:t>;</w:t>
      </w:r>
      <w:r w:rsidR="00080FCD" w:rsidRPr="00893D82">
        <w:rPr>
          <w:shd w:val="clear" w:color="auto" w:fill="CCFFFF"/>
          <w:lang w:val="en-US"/>
        </w:rPr>
        <w:t xml:space="preserve"> i.e. </w:t>
      </w:r>
      <w:proofErr w:type="spellStart"/>
      <w:r w:rsidR="00080FCD" w:rsidRPr="00893D82">
        <w:rPr>
          <w:shd w:val="clear" w:color="auto" w:fill="CCFFFF"/>
          <w:lang w:val="en-US"/>
        </w:rPr>
        <w:t>ECx</w:t>
      </w:r>
      <w:r w:rsidR="00080FCD" w:rsidRPr="00893D82">
        <w:rPr>
          <w:shd w:val="clear" w:color="auto" w:fill="CCFFFF"/>
          <w:vertAlign w:val="subscript"/>
          <w:lang w:val="en-US"/>
        </w:rPr>
        <w:t>PPP</w:t>
      </w:r>
      <w:proofErr w:type="spellEnd"/>
      <w:r w:rsidR="00080FCD" w:rsidRPr="00893D82">
        <w:rPr>
          <w:shd w:val="clear" w:color="auto" w:fill="CCFFFF"/>
          <w:lang w:val="en-US"/>
        </w:rPr>
        <w:t xml:space="preserve"> expressed as "sum of mg </w:t>
      </w:r>
      <w:proofErr w:type="spellStart"/>
      <w:r w:rsidR="00080FCD" w:rsidRPr="00893D82">
        <w:rPr>
          <w:shd w:val="clear" w:color="auto" w:fill="CCFFFF"/>
          <w:lang w:val="en-US"/>
        </w:rPr>
        <w:t>a.s.</w:t>
      </w:r>
      <w:proofErr w:type="spellEnd"/>
      <w:r w:rsidR="00080FCD" w:rsidRPr="00893D82">
        <w:rPr>
          <w:shd w:val="clear" w:color="auto" w:fill="CCFFFF"/>
          <w:lang w:val="en-US"/>
        </w:rPr>
        <w:t xml:space="preserve">/L" has to be used and not </w:t>
      </w:r>
      <w:proofErr w:type="spellStart"/>
      <w:r w:rsidR="00080FCD" w:rsidRPr="00893D82">
        <w:rPr>
          <w:shd w:val="clear" w:color="auto" w:fill="CCFFFF"/>
          <w:lang w:val="en-US"/>
        </w:rPr>
        <w:t>ECx</w:t>
      </w:r>
      <w:r w:rsidR="00080FCD" w:rsidRPr="00893D82">
        <w:rPr>
          <w:shd w:val="clear" w:color="auto" w:fill="CCFFFF"/>
          <w:vertAlign w:val="subscript"/>
          <w:lang w:val="en-US"/>
        </w:rPr>
        <w:t>PPP</w:t>
      </w:r>
      <w:proofErr w:type="spellEnd"/>
      <w:r w:rsidR="00080FCD" w:rsidRPr="00893D82">
        <w:rPr>
          <w:shd w:val="clear" w:color="auto" w:fill="CCFFFF"/>
          <w:lang w:val="en-US"/>
        </w:rPr>
        <w:t xml:space="preserve"> expressed as "mg product/L" ("mg product/L" is usually delivered; cf. AGD, 10.3.4.). The tool </w:t>
      </w:r>
      <w:r w:rsidR="00F1735A" w:rsidRPr="00F1735A">
        <w:rPr>
          <w:shd w:val="clear" w:color="auto" w:fill="CCFFFF"/>
          <w:lang w:val="en-US"/>
        </w:rPr>
        <w:t>“</w:t>
      </w:r>
      <w:proofErr w:type="spellStart"/>
      <w:r w:rsidR="00F1735A" w:rsidRPr="00F1735A">
        <w:rPr>
          <w:shd w:val="clear" w:color="auto" w:fill="CCFFFF"/>
          <w:lang w:val="en-US"/>
        </w:rPr>
        <w:t>AGD_AquaMix</w:t>
      </w:r>
      <w:proofErr w:type="spellEnd"/>
      <w:r w:rsidR="00F1735A">
        <w:rPr>
          <w:shd w:val="clear" w:color="auto" w:fill="CCFFFF"/>
          <w:lang w:val="en-US"/>
        </w:rPr>
        <w:t>”</w:t>
      </w:r>
      <w:r w:rsidR="00F1735A" w:rsidRPr="00F1735A">
        <w:rPr>
          <w:shd w:val="clear" w:color="auto" w:fill="CCFFFF"/>
          <w:lang w:val="en-US"/>
        </w:rPr>
        <w:t xml:space="preserve"> </w:t>
      </w:r>
      <w:r w:rsidR="00080FCD" w:rsidRPr="00893D82">
        <w:rPr>
          <w:shd w:val="clear" w:color="auto" w:fill="CCFFFF"/>
          <w:lang w:val="en-US"/>
        </w:rPr>
        <w:t xml:space="preserve">automatically takes the </w:t>
      </w:r>
      <w:proofErr w:type="spellStart"/>
      <w:r w:rsidR="00080FCD" w:rsidRPr="00893D82">
        <w:rPr>
          <w:shd w:val="clear" w:color="auto" w:fill="CCFFFF"/>
          <w:lang w:val="en-US"/>
        </w:rPr>
        <w:t>ECx</w:t>
      </w:r>
      <w:r w:rsidR="00080FCD" w:rsidRPr="00893D82">
        <w:rPr>
          <w:shd w:val="clear" w:color="auto" w:fill="CCFFFF"/>
          <w:vertAlign w:val="subscript"/>
          <w:lang w:val="en-US"/>
        </w:rPr>
        <w:t>PPP</w:t>
      </w:r>
      <w:proofErr w:type="spellEnd"/>
      <w:r w:rsidR="00080FCD" w:rsidRPr="00893D82">
        <w:rPr>
          <w:shd w:val="clear" w:color="auto" w:fill="CCFFFF"/>
          <w:lang w:val="en-US"/>
        </w:rPr>
        <w:t xml:space="preserve"> as "sum of mg </w:t>
      </w:r>
      <w:proofErr w:type="spellStart"/>
      <w:r w:rsidR="00080FCD" w:rsidRPr="00893D82">
        <w:rPr>
          <w:shd w:val="clear" w:color="auto" w:fill="CCFFFF"/>
          <w:lang w:val="en-US"/>
        </w:rPr>
        <w:t>a.s.</w:t>
      </w:r>
      <w:proofErr w:type="spellEnd"/>
      <w:r w:rsidR="00080FCD" w:rsidRPr="00893D82">
        <w:rPr>
          <w:shd w:val="clear" w:color="auto" w:fill="CCFFFF"/>
          <w:lang w:val="en-US"/>
        </w:rPr>
        <w:t>/L".</w:t>
      </w:r>
    </w:p>
    <w:p w14:paraId="3ECCE5B9" w14:textId="093167EB" w:rsidR="006957EF" w:rsidRDefault="00080FCD" w:rsidP="007E32E5">
      <w:pPr>
        <w:pStyle w:val="RepStandard"/>
        <w:pBdr>
          <w:top w:val="single" w:sz="4" w:space="1" w:color="auto" w:shadow="1"/>
          <w:left w:val="single" w:sz="4" w:space="4" w:color="auto" w:shadow="1"/>
          <w:bottom w:val="single" w:sz="4" w:space="1" w:color="auto" w:shadow="1"/>
          <w:right w:val="single" w:sz="4" w:space="4" w:color="auto" w:shadow="1"/>
        </w:pBdr>
        <w:shd w:val="clear" w:color="auto" w:fill="CCFFFF"/>
        <w:spacing w:before="120" w:after="120"/>
        <w:rPr>
          <w:shd w:val="clear" w:color="auto" w:fill="CCFFFF"/>
          <w:lang w:val="en-US"/>
        </w:rPr>
      </w:pPr>
      <w:r>
        <w:rPr>
          <w:shd w:val="clear" w:color="auto" w:fill="CCFFFF"/>
          <w:lang w:val="en-US"/>
        </w:rPr>
        <w:t>*Please</w:t>
      </w:r>
      <w:r w:rsidR="00437428">
        <w:rPr>
          <w:shd w:val="clear" w:color="auto" w:fill="CCFFFF"/>
          <w:lang w:val="en-US"/>
        </w:rPr>
        <w:t>,</w:t>
      </w:r>
      <w:r>
        <w:rPr>
          <w:shd w:val="clear" w:color="auto" w:fill="CCFFFF"/>
          <w:lang w:val="en-US"/>
        </w:rPr>
        <w:t xml:space="preserve"> note that in later step</w:t>
      </w:r>
      <w:r w:rsidR="00F1735A">
        <w:rPr>
          <w:shd w:val="clear" w:color="auto" w:fill="CCFFFF"/>
          <w:lang w:val="en-US"/>
        </w:rPr>
        <w:t>s</w:t>
      </w:r>
      <w:r>
        <w:rPr>
          <w:shd w:val="clear" w:color="auto" w:fill="CCFFFF"/>
          <w:lang w:val="en-US"/>
        </w:rPr>
        <w:t xml:space="preserve"> (</w:t>
      </w:r>
      <w:r w:rsidR="00F1735A">
        <w:rPr>
          <w:shd w:val="clear" w:color="auto" w:fill="CCFFFF"/>
          <w:lang w:val="en-US"/>
        </w:rPr>
        <w:t xml:space="preserve">in </w:t>
      </w:r>
      <w:r w:rsidR="00F1735A" w:rsidRPr="00462FB8">
        <w:rPr>
          <w:shd w:val="clear" w:color="auto" w:fill="CCFFFF"/>
          <w:lang w:val="en-US"/>
        </w:rPr>
        <w:t xml:space="preserve">particular </w:t>
      </w:r>
      <w:r w:rsidR="006118E8" w:rsidRPr="00462FB8">
        <w:rPr>
          <w:shd w:val="clear" w:color="auto" w:fill="CCFFFF"/>
          <w:lang w:val="en-US"/>
        </w:rPr>
        <w:t>Step 8</w:t>
      </w:r>
      <w:r w:rsidR="00000E6B">
        <w:rPr>
          <w:shd w:val="clear" w:color="auto" w:fill="CCFFFF"/>
          <w:lang w:val="en-US"/>
        </w:rPr>
        <w:t>)</w:t>
      </w:r>
      <w:r w:rsidRPr="00462FB8">
        <w:rPr>
          <w:shd w:val="clear" w:color="auto" w:fill="CCFFFF"/>
          <w:lang w:val="en-US"/>
        </w:rPr>
        <w:t xml:space="preserve">, </w:t>
      </w:r>
      <w:proofErr w:type="spellStart"/>
      <w:r w:rsidRPr="00462FB8">
        <w:rPr>
          <w:shd w:val="clear" w:color="auto" w:fill="CCFFFF"/>
          <w:lang w:val="en-US"/>
        </w:rPr>
        <w:t>ECx</w:t>
      </w:r>
      <w:r w:rsidRPr="00462FB8">
        <w:rPr>
          <w:shd w:val="clear" w:color="auto" w:fill="CCFFFF"/>
          <w:vertAlign w:val="subscript"/>
          <w:lang w:val="en-US"/>
        </w:rPr>
        <w:t>mix</w:t>
      </w:r>
      <w:proofErr w:type="spellEnd"/>
      <w:r>
        <w:rPr>
          <w:shd w:val="clear" w:color="auto" w:fill="CCFFFF"/>
          <w:vertAlign w:val="subscript"/>
          <w:lang w:val="en-US"/>
        </w:rPr>
        <w:t>-CA</w:t>
      </w:r>
      <w:r>
        <w:rPr>
          <w:shd w:val="clear" w:color="auto" w:fill="CCFFFF"/>
          <w:lang w:val="en-US"/>
        </w:rPr>
        <w:t xml:space="preserve"> is not</w:t>
      </w:r>
      <w:r w:rsidR="00B133E7">
        <w:rPr>
          <w:shd w:val="clear" w:color="auto" w:fill="CCFFFF"/>
          <w:lang w:val="en-US"/>
        </w:rPr>
        <w:t xml:space="preserve"> necessarily</w:t>
      </w:r>
      <w:r>
        <w:rPr>
          <w:shd w:val="clear" w:color="auto" w:fill="CCFFFF"/>
          <w:lang w:val="en-US"/>
        </w:rPr>
        <w:t xml:space="preserve"> calculated based on </w:t>
      </w:r>
      <w:r w:rsidR="00F1735A">
        <w:rPr>
          <w:shd w:val="clear" w:color="auto" w:fill="CCFFFF"/>
          <w:lang w:val="en-US"/>
        </w:rPr>
        <w:t>Tier 1 standard test species</w:t>
      </w:r>
      <w:r>
        <w:rPr>
          <w:shd w:val="clear" w:color="auto" w:fill="CCFFFF"/>
          <w:lang w:val="en-US"/>
        </w:rPr>
        <w:t xml:space="preserve">, but </w:t>
      </w:r>
      <w:r w:rsidR="00F1735A">
        <w:rPr>
          <w:shd w:val="clear" w:color="auto" w:fill="CCFFFF"/>
          <w:lang w:val="en-US"/>
        </w:rPr>
        <w:t xml:space="preserve">should be based </w:t>
      </w:r>
      <w:r>
        <w:rPr>
          <w:shd w:val="clear" w:color="auto" w:fill="CCFFFF"/>
          <w:lang w:val="en-US"/>
        </w:rPr>
        <w:t xml:space="preserve">on the </w:t>
      </w:r>
      <w:r w:rsidRPr="001A5744">
        <w:rPr>
          <w:b/>
          <w:shd w:val="clear" w:color="auto" w:fill="CCFFFF"/>
          <w:lang w:val="en-US"/>
        </w:rPr>
        <w:t>most</w:t>
      </w:r>
      <w:r w:rsidRPr="001A5744">
        <w:rPr>
          <w:shd w:val="clear" w:color="auto" w:fill="CCFFFF"/>
          <w:lang w:val="en-US"/>
        </w:rPr>
        <w:t xml:space="preserve"> </w:t>
      </w:r>
      <w:r w:rsidRPr="001A5744">
        <w:rPr>
          <w:b/>
          <w:shd w:val="clear" w:color="auto" w:fill="CCFFFF"/>
          <w:lang w:val="en-US"/>
        </w:rPr>
        <w:t>sensitive species</w:t>
      </w:r>
      <w:r w:rsidR="005F44E0" w:rsidRPr="00B16994">
        <w:rPr>
          <w:b/>
          <w:i/>
          <w:shd w:val="clear" w:color="auto" w:fill="CCFFFF"/>
          <w:lang w:val="en-US"/>
        </w:rPr>
        <w:t xml:space="preserve"> </w:t>
      </w:r>
      <w:r w:rsidR="005F44E0" w:rsidRPr="00B16994">
        <w:rPr>
          <w:b/>
          <w:shd w:val="clear" w:color="auto" w:fill="CCFFFF"/>
          <w:lang w:val="en-US"/>
        </w:rPr>
        <w:t>or Tier 2 A/B data</w:t>
      </w:r>
      <w:r>
        <w:rPr>
          <w:shd w:val="clear" w:color="auto" w:fill="CCFFFF"/>
          <w:lang w:val="en-US"/>
        </w:rPr>
        <w:t>.</w:t>
      </w:r>
      <w:r w:rsidR="005F44E0">
        <w:rPr>
          <w:shd w:val="clear" w:color="auto" w:fill="CCFFFF"/>
          <w:lang w:val="en-US"/>
        </w:rPr>
        <w:t xml:space="preserve"> These </w:t>
      </w:r>
      <w:r w:rsidR="00EF6E73" w:rsidRPr="001A5744">
        <w:rPr>
          <w:b/>
          <w:shd w:val="clear" w:color="auto" w:fill="CCFFFF"/>
          <w:lang w:val="en-US"/>
        </w:rPr>
        <w:t>c</w:t>
      </w:r>
      <w:r w:rsidR="005F44E0" w:rsidRPr="001A5744">
        <w:rPr>
          <w:b/>
          <w:shd w:val="clear" w:color="auto" w:fill="CCFFFF"/>
          <w:lang w:val="en-US"/>
        </w:rPr>
        <w:t>ould be added</w:t>
      </w:r>
      <w:r w:rsidR="00EE5667">
        <w:rPr>
          <w:b/>
          <w:shd w:val="clear" w:color="auto" w:fill="CCFFFF"/>
          <w:lang w:val="en-US"/>
        </w:rPr>
        <w:t xml:space="preserve"> manually</w:t>
      </w:r>
      <w:r w:rsidR="005F44E0" w:rsidRPr="001A5744">
        <w:rPr>
          <w:b/>
          <w:shd w:val="clear" w:color="auto" w:fill="CCFFFF"/>
          <w:lang w:val="en-US"/>
        </w:rPr>
        <w:t xml:space="preserve"> to </w:t>
      </w:r>
      <w:r w:rsidR="005F44E0" w:rsidRPr="001A5744">
        <w:rPr>
          <w:b/>
          <w:shd w:val="clear" w:color="auto" w:fill="CCFFFF"/>
          <w:lang w:val="en-US"/>
        </w:rPr>
        <w:fldChar w:fldCharType="begin"/>
      </w:r>
      <w:r w:rsidR="005F44E0" w:rsidRPr="001A5744">
        <w:rPr>
          <w:b/>
          <w:shd w:val="clear" w:color="auto" w:fill="CCFFFF"/>
          <w:lang w:val="en-US"/>
        </w:rPr>
        <w:instrText xml:space="preserve"> REF _Ref37772310 \h </w:instrText>
      </w:r>
      <w:r w:rsidR="001A5744">
        <w:rPr>
          <w:b/>
          <w:shd w:val="clear" w:color="auto" w:fill="CCFFFF"/>
          <w:lang w:val="en-US"/>
        </w:rPr>
        <w:instrText xml:space="preserve"> \* MERGEFORMAT </w:instrText>
      </w:r>
      <w:r w:rsidR="005F44E0" w:rsidRPr="001A5744">
        <w:rPr>
          <w:b/>
          <w:shd w:val="clear" w:color="auto" w:fill="CCFFFF"/>
          <w:lang w:val="en-US"/>
        </w:rPr>
      </w:r>
      <w:r w:rsidR="005F44E0" w:rsidRPr="001A5744">
        <w:rPr>
          <w:b/>
          <w:shd w:val="clear" w:color="auto" w:fill="CCFFFF"/>
          <w:lang w:val="en-US"/>
        </w:rPr>
        <w:fldChar w:fldCharType="separate"/>
      </w:r>
      <w:r w:rsidR="00EE5667" w:rsidRPr="00EE5667">
        <w:rPr>
          <w:b/>
        </w:rPr>
        <w:t xml:space="preserve">Table </w:t>
      </w:r>
      <w:r w:rsidR="00EE5667" w:rsidRPr="00EE5667">
        <w:rPr>
          <w:b/>
          <w:noProof/>
        </w:rPr>
        <w:t>9.5.2.2</w:t>
      </w:r>
      <w:r w:rsidR="00EE5667" w:rsidRPr="00EE5667">
        <w:rPr>
          <w:b/>
          <w:noProof/>
        </w:rPr>
        <w:noBreakHyphen/>
        <w:t>2</w:t>
      </w:r>
      <w:r w:rsidR="005F44E0" w:rsidRPr="001A5744">
        <w:rPr>
          <w:b/>
          <w:shd w:val="clear" w:color="auto" w:fill="CCFFFF"/>
          <w:lang w:val="en-US"/>
        </w:rPr>
        <w:fldChar w:fldCharType="end"/>
      </w:r>
      <w:r w:rsidR="00EF6E73">
        <w:rPr>
          <w:shd w:val="clear" w:color="auto" w:fill="CCFFFF"/>
          <w:lang w:val="en-US"/>
        </w:rPr>
        <w:t>,</w:t>
      </w:r>
      <w:r w:rsidR="005F44E0">
        <w:rPr>
          <w:shd w:val="clear" w:color="auto" w:fill="CCFFFF"/>
          <w:lang w:val="en-US"/>
        </w:rPr>
        <w:t xml:space="preserve"> if necessary</w:t>
      </w:r>
      <w:r w:rsidR="00EF6E73">
        <w:rPr>
          <w:shd w:val="clear" w:color="auto" w:fill="CCFFFF"/>
          <w:lang w:val="en-US"/>
        </w:rPr>
        <w:t>,</w:t>
      </w:r>
      <w:r w:rsidR="00F37F2F">
        <w:rPr>
          <w:shd w:val="clear" w:color="auto" w:fill="CCFFFF"/>
          <w:lang w:val="en-US"/>
        </w:rPr>
        <w:t xml:space="preserve"> in order to give a comprehensive data overview</w:t>
      </w:r>
      <w:r w:rsidR="005F44E0">
        <w:rPr>
          <w:shd w:val="clear" w:color="auto" w:fill="CCFFFF"/>
          <w:lang w:val="en-US"/>
        </w:rPr>
        <w:t>.</w:t>
      </w:r>
    </w:p>
    <w:p w14:paraId="3627758E" w14:textId="030E9464" w:rsidR="00080FCD" w:rsidRPr="00382AD4" w:rsidRDefault="006957EF" w:rsidP="007E32E5">
      <w:pPr>
        <w:pStyle w:val="RepStandard"/>
        <w:pBdr>
          <w:top w:val="single" w:sz="4" w:space="1" w:color="auto" w:shadow="1"/>
          <w:left w:val="single" w:sz="4" w:space="4" w:color="auto" w:shadow="1"/>
          <w:bottom w:val="single" w:sz="4" w:space="1" w:color="auto" w:shadow="1"/>
          <w:right w:val="single" w:sz="4" w:space="4" w:color="auto" w:shadow="1"/>
        </w:pBdr>
        <w:shd w:val="clear" w:color="auto" w:fill="CCFFFF"/>
        <w:spacing w:before="120" w:after="120"/>
        <w:rPr>
          <w:shd w:val="clear" w:color="auto" w:fill="CCFFFF"/>
          <w:lang w:val="en-US"/>
        </w:rPr>
      </w:pPr>
      <w:r w:rsidRPr="006957EF">
        <w:rPr>
          <w:b/>
          <w:u w:val="single"/>
          <w:shd w:val="clear" w:color="auto" w:fill="CCFFFF"/>
          <w:lang w:val="en-US"/>
        </w:rPr>
        <w:t>Copy &amp; Paste remark:</w:t>
      </w:r>
      <w:r>
        <w:rPr>
          <w:shd w:val="clear" w:color="auto" w:fill="CCFFFF"/>
          <w:lang w:val="en-US"/>
        </w:rPr>
        <w:t xml:space="preserve"> </w:t>
      </w:r>
      <w:r w:rsidR="008D651B" w:rsidRPr="008D651B">
        <w:rPr>
          <w:shd w:val="clear" w:color="auto" w:fill="CCFFFF"/>
          <w:lang w:val="en-US"/>
        </w:rPr>
        <w:t>Please note that it is recommended to use</w:t>
      </w:r>
      <w:r w:rsidR="008D651B">
        <w:rPr>
          <w:shd w:val="clear" w:color="auto" w:fill="CCFFFF"/>
          <w:lang w:val="en-US"/>
        </w:rPr>
        <w:t xml:space="preserve"> the</w:t>
      </w:r>
      <w:r w:rsidR="008D651B" w:rsidRPr="008D651B">
        <w:rPr>
          <w:shd w:val="clear" w:color="auto" w:fill="CCFFFF"/>
          <w:lang w:val="en-US"/>
        </w:rPr>
        <w:t xml:space="preserve"> </w:t>
      </w:r>
      <w:r>
        <w:rPr>
          <w:shd w:val="clear" w:color="auto" w:fill="CCFFFF"/>
          <w:lang w:val="en-US"/>
        </w:rPr>
        <w:t>“keep text only” paste option of word. This is accessed by</w:t>
      </w:r>
      <w:r w:rsidR="003D5C43">
        <w:rPr>
          <w:shd w:val="clear" w:color="auto" w:fill="CCFFFF"/>
          <w:lang w:val="en-US"/>
        </w:rPr>
        <w:t xml:space="preserve"> </w:t>
      </w:r>
      <w:r w:rsidR="00FF62BE">
        <w:rPr>
          <w:shd w:val="clear" w:color="auto" w:fill="CCFFFF"/>
          <w:lang w:val="en-US"/>
        </w:rPr>
        <w:t>marking</w:t>
      </w:r>
      <w:r w:rsidR="003D5C43">
        <w:rPr>
          <w:shd w:val="clear" w:color="auto" w:fill="CCFFFF"/>
          <w:lang w:val="en-US"/>
        </w:rPr>
        <w:t xml:space="preserve"> all the cells </w:t>
      </w:r>
      <w:r w:rsidR="00EE5667">
        <w:rPr>
          <w:shd w:val="clear" w:color="auto" w:fill="CCFFFF"/>
          <w:lang w:val="en-US"/>
        </w:rPr>
        <w:t xml:space="preserve">into which </w:t>
      </w:r>
      <w:r w:rsidR="00646780">
        <w:rPr>
          <w:shd w:val="clear" w:color="auto" w:fill="CCFFFF"/>
          <w:lang w:val="en-US"/>
        </w:rPr>
        <w:t>you want to paste the text/results</w:t>
      </w:r>
      <w:r w:rsidR="003D5C43">
        <w:rPr>
          <w:shd w:val="clear" w:color="auto" w:fill="CCFFFF"/>
          <w:lang w:val="en-US"/>
        </w:rPr>
        <w:t>,</w:t>
      </w:r>
      <w:r>
        <w:rPr>
          <w:shd w:val="clear" w:color="auto" w:fill="CCFFFF"/>
          <w:lang w:val="en-US"/>
        </w:rPr>
        <w:t xml:space="preserve"> </w:t>
      </w:r>
      <w:r w:rsidR="001C3641">
        <w:rPr>
          <w:shd w:val="clear" w:color="auto" w:fill="CCFFFF"/>
          <w:lang w:val="en-US"/>
        </w:rPr>
        <w:t xml:space="preserve">doing </w:t>
      </w:r>
      <w:r>
        <w:rPr>
          <w:shd w:val="clear" w:color="auto" w:fill="CCFFFF"/>
          <w:lang w:val="en-US"/>
        </w:rPr>
        <w:t xml:space="preserve">a right click </w:t>
      </w:r>
      <w:r w:rsidR="00FF62BE">
        <w:rPr>
          <w:shd w:val="clear" w:color="auto" w:fill="CCFFFF"/>
          <w:lang w:val="en-US"/>
        </w:rPr>
        <w:t xml:space="preserve">on the selection </w:t>
      </w:r>
      <w:r>
        <w:rPr>
          <w:shd w:val="clear" w:color="auto" w:fill="CCFFFF"/>
          <w:lang w:val="en-US"/>
        </w:rPr>
        <w:t xml:space="preserve">and choosing the symbol </w:t>
      </w:r>
      <w:r w:rsidR="003D5C43">
        <w:rPr>
          <w:noProof/>
          <w:lang w:val="de-DE"/>
        </w:rPr>
        <w:drawing>
          <wp:inline distT="0" distB="0" distL="0" distR="0" wp14:anchorId="277E5456" wp14:editId="1528DFF1">
            <wp:extent cx="161925" cy="18097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61925" cy="180975"/>
                    </a:xfrm>
                    <a:prstGeom prst="rect">
                      <a:avLst/>
                    </a:prstGeom>
                  </pic:spPr>
                </pic:pic>
              </a:graphicData>
            </a:graphic>
          </wp:inline>
        </w:drawing>
      </w:r>
      <w:r w:rsidR="003D5C43">
        <w:rPr>
          <w:shd w:val="clear" w:color="auto" w:fill="CCFFFF"/>
          <w:lang w:val="en-US"/>
        </w:rPr>
        <w:t xml:space="preserve"> </w:t>
      </w:r>
      <w:proofErr w:type="spellStart"/>
      <w:r>
        <w:rPr>
          <w:shd w:val="clear" w:color="auto" w:fill="CCFFFF"/>
          <w:lang w:val="en-US"/>
        </w:rPr>
        <w:t>unter</w:t>
      </w:r>
      <w:proofErr w:type="spellEnd"/>
      <w:r>
        <w:rPr>
          <w:shd w:val="clear" w:color="auto" w:fill="CCFFFF"/>
          <w:lang w:val="en-US"/>
        </w:rPr>
        <w:t xml:space="preserve"> copy options.</w:t>
      </w:r>
      <w:r w:rsidR="00382AD4">
        <w:rPr>
          <w:shd w:val="clear" w:color="auto" w:fill="CCFFFF"/>
          <w:lang w:val="en-US"/>
        </w:rPr>
        <w:t xml:space="preserve"> Some formatting has to be redone, though. It should be possible to copy </w:t>
      </w:r>
      <w:r w:rsidR="00D1295F">
        <w:rPr>
          <w:shd w:val="clear" w:color="auto" w:fill="CCFFFF"/>
          <w:lang w:val="en-US"/>
        </w:rPr>
        <w:t>the data from the calculation tool in</w:t>
      </w:r>
      <w:r w:rsidR="00382AD4">
        <w:rPr>
          <w:shd w:val="clear" w:color="auto" w:fill="CCFFFF"/>
          <w:lang w:val="en-US"/>
        </w:rPr>
        <w:t xml:space="preserve"> one go, </w:t>
      </w:r>
      <w:r w:rsidR="00D1295F">
        <w:rPr>
          <w:shd w:val="clear" w:color="auto" w:fill="CCFFFF"/>
          <w:lang w:val="en-US"/>
        </w:rPr>
        <w:t xml:space="preserve">by </w:t>
      </w:r>
      <w:r w:rsidR="00382AD4">
        <w:rPr>
          <w:shd w:val="clear" w:color="auto" w:fill="CCFFFF"/>
          <w:lang w:val="en-US"/>
        </w:rPr>
        <w:t>beginning</w:t>
      </w:r>
      <w:r w:rsidR="00516E9B">
        <w:rPr>
          <w:shd w:val="clear" w:color="auto" w:fill="CCFFFF"/>
          <w:lang w:val="en-US"/>
        </w:rPr>
        <w:t xml:space="preserve"> the selection</w:t>
      </w:r>
      <w:r w:rsidR="00382AD4">
        <w:rPr>
          <w:shd w:val="clear" w:color="auto" w:fill="CCFFFF"/>
          <w:lang w:val="en-US"/>
        </w:rPr>
        <w:t xml:space="preserve"> with the right</w:t>
      </w:r>
      <w:r w:rsidR="00D1295F">
        <w:rPr>
          <w:shd w:val="clear" w:color="auto" w:fill="CCFFFF"/>
          <w:lang w:val="en-US"/>
        </w:rPr>
        <w:t>hand side next to</w:t>
      </w:r>
      <w:r w:rsidR="00382AD4">
        <w:rPr>
          <w:shd w:val="clear" w:color="auto" w:fill="CCFFFF"/>
          <w:lang w:val="en-US"/>
        </w:rPr>
        <w:t xml:space="preserve"> the last line</w:t>
      </w:r>
      <w:r w:rsidR="00516E9B">
        <w:rPr>
          <w:shd w:val="clear" w:color="auto" w:fill="CCFFFF"/>
          <w:lang w:val="en-US"/>
        </w:rPr>
        <w:t xml:space="preserve"> of the table</w:t>
      </w:r>
      <w:r w:rsidR="00382AD4">
        <w:rPr>
          <w:shd w:val="clear" w:color="auto" w:fill="CCFFFF"/>
          <w:lang w:val="en-US"/>
        </w:rPr>
        <w:t xml:space="preserve"> and dragging the </w:t>
      </w:r>
      <w:r w:rsidR="00516E9B">
        <w:rPr>
          <w:shd w:val="clear" w:color="auto" w:fill="CCFFFF"/>
          <w:lang w:val="en-US"/>
        </w:rPr>
        <w:t>selection</w:t>
      </w:r>
      <w:r w:rsidR="00382AD4">
        <w:rPr>
          <w:shd w:val="clear" w:color="auto" w:fill="CCFFFF"/>
          <w:lang w:val="en-US"/>
        </w:rPr>
        <w:t xml:space="preserve"> up to the line “</w:t>
      </w:r>
      <w:r w:rsidR="00382AD4" w:rsidRPr="00382AD4">
        <w:rPr>
          <w:shd w:val="clear" w:color="auto" w:fill="CCFFFF"/>
          <w:lang w:val="en-US"/>
        </w:rPr>
        <w:t>Fish, acute toxicity</w:t>
      </w:r>
      <w:r w:rsidR="00382AD4" w:rsidRPr="00382AD4">
        <w:rPr>
          <w:shd w:val="clear" w:color="auto" w:fill="CCFFFF"/>
          <w:vertAlign w:val="superscript"/>
          <w:lang w:val="en-US"/>
        </w:rPr>
        <w:t>1</w:t>
      </w:r>
      <w:r w:rsidR="00382AD4">
        <w:rPr>
          <w:shd w:val="clear" w:color="auto" w:fill="CCFFFF"/>
          <w:vertAlign w:val="superscript"/>
          <w:lang w:val="en-US"/>
        </w:rPr>
        <w:t>”</w:t>
      </w:r>
      <w:r w:rsidR="00382AD4">
        <w:rPr>
          <w:shd w:val="clear" w:color="auto" w:fill="CCFFFF"/>
          <w:lang w:val="en-US"/>
        </w:rPr>
        <w:t>.</w:t>
      </w:r>
    </w:p>
    <w:p w14:paraId="78E49FD8" w14:textId="5B30E67C" w:rsidR="00080FCD" w:rsidRPr="00F046C0" w:rsidRDefault="005F2574" w:rsidP="00AA2133">
      <w:pPr>
        <w:pStyle w:val="Beschriftung"/>
        <w:spacing w:before="120" w:after="120"/>
        <w:ind w:left="1410" w:hanging="1410"/>
        <w:rPr>
          <w:sz w:val="22"/>
          <w:szCs w:val="22"/>
        </w:rPr>
      </w:pPr>
      <w:bookmarkStart w:id="7" w:name="_Ref37772310"/>
      <w:r w:rsidRPr="005F2574">
        <w:rPr>
          <w:sz w:val="22"/>
          <w:szCs w:val="22"/>
        </w:rPr>
        <w:t xml:space="preserve">Table </w:t>
      </w:r>
      <w:r w:rsidRPr="005F2574">
        <w:rPr>
          <w:sz w:val="22"/>
          <w:szCs w:val="22"/>
        </w:rPr>
        <w:fldChar w:fldCharType="begin"/>
      </w:r>
      <w:r w:rsidRPr="005F2574">
        <w:rPr>
          <w:sz w:val="22"/>
          <w:szCs w:val="22"/>
        </w:rPr>
        <w:instrText xml:space="preserve"> STYLEREF 4 \s </w:instrText>
      </w:r>
      <w:r w:rsidRPr="005F2574">
        <w:rPr>
          <w:sz w:val="22"/>
          <w:szCs w:val="22"/>
        </w:rPr>
        <w:fldChar w:fldCharType="separate"/>
      </w:r>
      <w:r w:rsidR="00EE5667">
        <w:rPr>
          <w:noProof/>
          <w:sz w:val="22"/>
          <w:szCs w:val="22"/>
        </w:rPr>
        <w:t>9.5.2.2</w:t>
      </w:r>
      <w:r w:rsidRPr="005F2574">
        <w:rPr>
          <w:sz w:val="22"/>
          <w:szCs w:val="22"/>
        </w:rPr>
        <w:fldChar w:fldCharType="end"/>
      </w:r>
      <w:r w:rsidRPr="005F2574">
        <w:rPr>
          <w:sz w:val="22"/>
          <w:szCs w:val="22"/>
        </w:rPr>
        <w:noBreakHyphen/>
      </w:r>
      <w:r w:rsidRPr="005F2574">
        <w:rPr>
          <w:sz w:val="22"/>
          <w:szCs w:val="22"/>
        </w:rPr>
        <w:fldChar w:fldCharType="begin"/>
      </w:r>
      <w:r w:rsidRPr="005F2574">
        <w:rPr>
          <w:sz w:val="22"/>
          <w:szCs w:val="22"/>
        </w:rPr>
        <w:instrText xml:space="preserve"> SEQ Table \* ARABIC \s 4 </w:instrText>
      </w:r>
      <w:r w:rsidRPr="005F2574">
        <w:rPr>
          <w:sz w:val="22"/>
          <w:szCs w:val="22"/>
        </w:rPr>
        <w:fldChar w:fldCharType="separate"/>
      </w:r>
      <w:r w:rsidR="00EE5667">
        <w:rPr>
          <w:noProof/>
          <w:sz w:val="22"/>
          <w:szCs w:val="22"/>
        </w:rPr>
        <w:t>2</w:t>
      </w:r>
      <w:r w:rsidRPr="005F2574">
        <w:rPr>
          <w:sz w:val="22"/>
          <w:szCs w:val="22"/>
        </w:rPr>
        <w:fldChar w:fldCharType="end"/>
      </w:r>
      <w:bookmarkEnd w:id="7"/>
      <w:r w:rsidRPr="005F2574">
        <w:rPr>
          <w:sz w:val="22"/>
          <w:szCs w:val="22"/>
        </w:rPr>
        <w:t>:</w:t>
      </w:r>
      <w:r>
        <w:rPr>
          <w:sz w:val="22"/>
          <w:szCs w:val="22"/>
        </w:rPr>
        <w:t xml:space="preserve"> </w:t>
      </w:r>
      <w:r w:rsidR="00462FB8" w:rsidRPr="00F31641">
        <w:rPr>
          <w:sz w:val="22"/>
          <w:szCs w:val="22"/>
        </w:rPr>
        <w:t xml:space="preserve">Calculated mixture toxicity and MDR for </w:t>
      </w:r>
      <w:r w:rsidR="00462FB8">
        <w:rPr>
          <w:sz w:val="22"/>
          <w:szCs w:val="22"/>
        </w:rPr>
        <w:t>e</w:t>
      </w:r>
      <w:r w:rsidR="00462FB8" w:rsidRPr="00F31641">
        <w:rPr>
          <w:sz w:val="22"/>
          <w:szCs w:val="22"/>
        </w:rPr>
        <w:t xml:space="preserve">ach group of organisms (see sections 10.3.3 and 10.3.4 of </w:t>
      </w:r>
      <w:r w:rsidR="00462FB8">
        <w:rPr>
          <w:sz w:val="22"/>
          <w:szCs w:val="22"/>
        </w:rPr>
        <w:t>EFSA (2013)</w:t>
      </w:r>
      <w:r w:rsidR="00462FB8" w:rsidRPr="00F31641">
        <w:rPr>
          <w:sz w:val="22"/>
          <w:szCs w:val="22"/>
        </w:rPr>
        <w:t xml:space="preserve"> for more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2"/>
        <w:gridCol w:w="1170"/>
        <w:gridCol w:w="1573"/>
        <w:gridCol w:w="905"/>
        <w:gridCol w:w="1042"/>
        <w:gridCol w:w="1191"/>
        <w:gridCol w:w="1134"/>
        <w:gridCol w:w="845"/>
      </w:tblGrid>
      <w:tr w:rsidR="00080FCD" w:rsidRPr="00D23E02" w14:paraId="2FA17F98" w14:textId="77777777" w:rsidTr="00661020">
        <w:trPr>
          <w:trHeight w:val="1050"/>
          <w:jc w:val="center"/>
        </w:trPr>
        <w:tc>
          <w:tcPr>
            <w:tcW w:w="1202" w:type="dxa"/>
            <w:noWrap/>
            <w:vAlign w:val="center"/>
            <w:hideMark/>
          </w:tcPr>
          <w:p w14:paraId="0B5D01F7" w14:textId="77777777" w:rsidR="00080FCD" w:rsidRPr="00D23E02" w:rsidRDefault="00080FCD" w:rsidP="00AA2133">
            <w:pPr>
              <w:pStyle w:val="RepStandard"/>
              <w:spacing w:before="120" w:after="120"/>
              <w:jc w:val="left"/>
              <w:rPr>
                <w:b/>
                <w:bCs/>
                <w:lang w:val="de-DE"/>
              </w:rPr>
            </w:pPr>
            <w:r w:rsidRPr="00D23E02">
              <w:rPr>
                <w:b/>
                <w:bCs/>
                <w:lang w:val="en-US"/>
              </w:rPr>
              <w:t>Species</w:t>
            </w:r>
          </w:p>
        </w:tc>
        <w:tc>
          <w:tcPr>
            <w:tcW w:w="1170" w:type="dxa"/>
            <w:vAlign w:val="center"/>
            <w:hideMark/>
          </w:tcPr>
          <w:p w14:paraId="0A2105D3" w14:textId="77777777" w:rsidR="00080FCD" w:rsidRPr="00D23E02" w:rsidRDefault="00080FCD" w:rsidP="00AA2133">
            <w:pPr>
              <w:pStyle w:val="RepStandard"/>
              <w:spacing w:before="120" w:after="120"/>
              <w:jc w:val="center"/>
              <w:rPr>
                <w:b/>
                <w:bCs/>
                <w:lang w:val="en-US"/>
              </w:rPr>
            </w:pPr>
            <w:r>
              <w:rPr>
                <w:b/>
                <w:bCs/>
              </w:rPr>
              <w:t>Active s</w:t>
            </w:r>
            <w:r w:rsidRPr="00D23E02">
              <w:rPr>
                <w:b/>
                <w:bCs/>
              </w:rPr>
              <w:t>ubstance</w:t>
            </w:r>
          </w:p>
        </w:tc>
        <w:tc>
          <w:tcPr>
            <w:tcW w:w="1573" w:type="dxa"/>
            <w:vAlign w:val="center"/>
            <w:hideMark/>
          </w:tcPr>
          <w:p w14:paraId="2FE91FC2" w14:textId="77777777" w:rsidR="00080FCD" w:rsidRPr="00EC2C7F" w:rsidRDefault="00080FCD" w:rsidP="00AA2133">
            <w:pPr>
              <w:pStyle w:val="RepStandard"/>
              <w:spacing w:before="120" w:after="120"/>
              <w:jc w:val="center"/>
              <w:rPr>
                <w:b/>
                <w:bCs/>
                <w:lang w:val="fr-FR"/>
              </w:rPr>
            </w:pPr>
            <w:r w:rsidRPr="00EC2C7F">
              <w:rPr>
                <w:b/>
                <w:bCs/>
                <w:lang w:val="fr-FR"/>
              </w:rPr>
              <w:t>Concentration (C</w:t>
            </w:r>
            <w:r w:rsidRPr="00EC2C7F">
              <w:rPr>
                <w:b/>
                <w:bCs/>
                <w:vertAlign w:val="subscript"/>
                <w:lang w:val="fr-FR"/>
              </w:rPr>
              <w:t>i</w:t>
            </w:r>
            <w:r w:rsidRPr="00EC2C7F">
              <w:rPr>
                <w:b/>
                <w:bCs/>
                <w:lang w:val="fr-FR"/>
              </w:rPr>
              <w:t xml:space="preserve">) in formulation </w:t>
            </w:r>
            <w:r w:rsidRPr="00EC2C7F">
              <w:rPr>
                <w:b/>
                <w:bCs/>
                <w:lang w:val="fr-FR"/>
              </w:rPr>
              <w:br/>
              <w:t xml:space="preserve">(g </w:t>
            </w:r>
            <w:proofErr w:type="spellStart"/>
            <w:r w:rsidRPr="00EC2C7F">
              <w:rPr>
                <w:b/>
                <w:bCs/>
                <w:lang w:val="fr-FR"/>
              </w:rPr>
              <w:t>a.s</w:t>
            </w:r>
            <w:proofErr w:type="spellEnd"/>
            <w:r w:rsidRPr="00EC2C7F">
              <w:rPr>
                <w:b/>
                <w:bCs/>
                <w:lang w:val="fr-FR"/>
              </w:rPr>
              <w:t>./L)</w:t>
            </w:r>
          </w:p>
        </w:tc>
        <w:tc>
          <w:tcPr>
            <w:tcW w:w="905" w:type="dxa"/>
            <w:vAlign w:val="center"/>
            <w:hideMark/>
          </w:tcPr>
          <w:p w14:paraId="1D74207B" w14:textId="77777777" w:rsidR="00080FCD" w:rsidRPr="00D23E02" w:rsidRDefault="00080FCD" w:rsidP="00AA2133">
            <w:pPr>
              <w:pStyle w:val="RepStandard"/>
              <w:spacing w:before="120" w:after="120"/>
              <w:jc w:val="center"/>
              <w:rPr>
                <w:b/>
                <w:bCs/>
                <w:lang w:val="en-US"/>
              </w:rPr>
            </w:pPr>
            <w:r w:rsidRPr="00D23E02">
              <w:rPr>
                <w:b/>
                <w:bCs/>
                <w:lang w:val="en-US"/>
              </w:rPr>
              <w:t>P</w:t>
            </w:r>
            <w:r w:rsidRPr="00D23E02">
              <w:rPr>
                <w:b/>
                <w:bCs/>
                <w:vertAlign w:val="subscript"/>
                <w:lang w:val="en-US"/>
              </w:rPr>
              <w:t>i</w:t>
            </w:r>
          </w:p>
        </w:tc>
        <w:tc>
          <w:tcPr>
            <w:tcW w:w="1042" w:type="dxa"/>
            <w:vAlign w:val="center"/>
            <w:hideMark/>
          </w:tcPr>
          <w:p w14:paraId="0B0EE1B5" w14:textId="77777777" w:rsidR="00080FCD" w:rsidRPr="00D23E02" w:rsidRDefault="00080FCD" w:rsidP="00AA2133">
            <w:pPr>
              <w:pStyle w:val="RepStandard"/>
              <w:spacing w:before="120" w:after="120"/>
              <w:jc w:val="center"/>
              <w:rPr>
                <w:b/>
                <w:bCs/>
                <w:lang w:val="en-US"/>
              </w:rPr>
            </w:pPr>
            <w:proofErr w:type="spellStart"/>
            <w:r w:rsidRPr="00D23E02">
              <w:rPr>
                <w:b/>
                <w:bCs/>
                <w:lang w:val="en-US"/>
              </w:rPr>
              <w:t>E</w:t>
            </w:r>
            <w:r>
              <w:rPr>
                <w:b/>
                <w:bCs/>
                <w:lang w:val="en-US"/>
              </w:rPr>
              <w:t>Cx</w:t>
            </w:r>
            <w:r w:rsidRPr="005C4F43">
              <w:rPr>
                <w:b/>
                <w:bCs/>
                <w:vertAlign w:val="subscript"/>
                <w:lang w:val="en-US"/>
              </w:rPr>
              <w:t>i</w:t>
            </w:r>
            <w:proofErr w:type="spellEnd"/>
            <w:r w:rsidRPr="00D23E02">
              <w:rPr>
                <w:b/>
                <w:bCs/>
                <w:lang w:val="en-US"/>
              </w:rPr>
              <w:br/>
              <w:t xml:space="preserve">(mg </w:t>
            </w:r>
            <w:proofErr w:type="spellStart"/>
            <w:r w:rsidRPr="00D23E02">
              <w:rPr>
                <w:b/>
                <w:bCs/>
                <w:lang w:val="en-US"/>
              </w:rPr>
              <w:t>a.s.</w:t>
            </w:r>
            <w:proofErr w:type="spellEnd"/>
            <w:r w:rsidRPr="00D23E02">
              <w:rPr>
                <w:b/>
                <w:bCs/>
                <w:lang w:val="en-US"/>
              </w:rPr>
              <w:t>/L)</w:t>
            </w:r>
          </w:p>
        </w:tc>
        <w:tc>
          <w:tcPr>
            <w:tcW w:w="1191" w:type="dxa"/>
            <w:vAlign w:val="center"/>
            <w:hideMark/>
          </w:tcPr>
          <w:p w14:paraId="54F59A1F" w14:textId="77777777" w:rsidR="00080FCD" w:rsidRPr="00D23E02" w:rsidRDefault="00080FCD" w:rsidP="00AA2133">
            <w:pPr>
              <w:pStyle w:val="RepStandard"/>
              <w:spacing w:before="120" w:after="120"/>
              <w:jc w:val="center"/>
              <w:rPr>
                <w:b/>
                <w:bCs/>
                <w:lang w:val="en-US"/>
              </w:rPr>
            </w:pPr>
            <w:proofErr w:type="spellStart"/>
            <w:r w:rsidRPr="00D23E02">
              <w:rPr>
                <w:b/>
                <w:bCs/>
                <w:lang w:val="en-US"/>
              </w:rPr>
              <w:t>ECx</w:t>
            </w:r>
            <w:r w:rsidRPr="00D23E02">
              <w:rPr>
                <w:b/>
                <w:bCs/>
                <w:vertAlign w:val="subscript"/>
                <w:lang w:val="en-US"/>
              </w:rPr>
              <w:t>mix</w:t>
            </w:r>
            <w:proofErr w:type="spellEnd"/>
            <w:r w:rsidRPr="00D23E02">
              <w:rPr>
                <w:b/>
                <w:bCs/>
                <w:vertAlign w:val="subscript"/>
                <w:lang w:val="en-US"/>
              </w:rPr>
              <w:t xml:space="preserve">-CA </w:t>
            </w:r>
            <w:r w:rsidRPr="00D23E02">
              <w:rPr>
                <w:b/>
                <w:bCs/>
                <w:lang w:val="en-US"/>
              </w:rPr>
              <w:br/>
              <w:t xml:space="preserve">(mg sum </w:t>
            </w:r>
            <w:proofErr w:type="spellStart"/>
            <w:r w:rsidRPr="00D23E02">
              <w:rPr>
                <w:b/>
                <w:bCs/>
                <w:lang w:val="en-US"/>
              </w:rPr>
              <w:t>a.s.</w:t>
            </w:r>
            <w:proofErr w:type="spellEnd"/>
            <w:r w:rsidRPr="00D23E02">
              <w:rPr>
                <w:b/>
                <w:bCs/>
                <w:lang w:val="en-US"/>
              </w:rPr>
              <w:t xml:space="preserve"> /L)</w:t>
            </w:r>
          </w:p>
        </w:tc>
        <w:tc>
          <w:tcPr>
            <w:tcW w:w="1134" w:type="dxa"/>
            <w:vAlign w:val="center"/>
            <w:hideMark/>
          </w:tcPr>
          <w:p w14:paraId="6D266808" w14:textId="77777777" w:rsidR="00080FCD" w:rsidRPr="00D23E02" w:rsidRDefault="00080FCD" w:rsidP="00AA2133">
            <w:pPr>
              <w:pStyle w:val="RepStandard"/>
              <w:spacing w:before="120" w:after="120"/>
              <w:jc w:val="center"/>
              <w:rPr>
                <w:b/>
                <w:bCs/>
                <w:lang w:val="en-US"/>
              </w:rPr>
            </w:pPr>
            <w:proofErr w:type="spellStart"/>
            <w:r w:rsidRPr="00D23E02">
              <w:rPr>
                <w:b/>
                <w:bCs/>
                <w:lang w:val="en-US"/>
              </w:rPr>
              <w:t>ECx</w:t>
            </w:r>
            <w:r w:rsidRPr="00D23E02">
              <w:rPr>
                <w:b/>
                <w:bCs/>
                <w:vertAlign w:val="subscript"/>
                <w:lang w:val="en-US"/>
              </w:rPr>
              <w:t>PPP</w:t>
            </w:r>
            <w:proofErr w:type="spellEnd"/>
            <w:r w:rsidRPr="00D23E02">
              <w:rPr>
                <w:b/>
                <w:bCs/>
                <w:lang w:val="en-US"/>
              </w:rPr>
              <w:br/>
              <w:t xml:space="preserve">(mg sum </w:t>
            </w:r>
            <w:proofErr w:type="spellStart"/>
            <w:r w:rsidRPr="00D23E02">
              <w:rPr>
                <w:b/>
                <w:bCs/>
                <w:lang w:val="en-US"/>
              </w:rPr>
              <w:t>a.s.</w:t>
            </w:r>
            <w:proofErr w:type="spellEnd"/>
            <w:r w:rsidRPr="00D23E02">
              <w:rPr>
                <w:b/>
                <w:bCs/>
                <w:lang w:val="en-US"/>
              </w:rPr>
              <w:t>/L)</w:t>
            </w:r>
          </w:p>
        </w:tc>
        <w:tc>
          <w:tcPr>
            <w:tcW w:w="845" w:type="dxa"/>
            <w:vAlign w:val="center"/>
            <w:hideMark/>
          </w:tcPr>
          <w:p w14:paraId="7571F3C3" w14:textId="774637E3" w:rsidR="00080FCD" w:rsidRPr="00D23E02" w:rsidRDefault="00080FCD" w:rsidP="00B45C1A">
            <w:pPr>
              <w:pStyle w:val="RepStandard"/>
              <w:spacing w:before="120" w:after="120"/>
              <w:jc w:val="center"/>
              <w:rPr>
                <w:b/>
                <w:bCs/>
                <w:lang w:val="en-US"/>
              </w:rPr>
            </w:pPr>
            <w:r w:rsidRPr="00D23E02">
              <w:rPr>
                <w:b/>
                <w:bCs/>
              </w:rPr>
              <w:t>MDR</w:t>
            </w:r>
            <w:r w:rsidR="00B45C1A">
              <w:rPr>
                <w:b/>
                <w:bCs/>
                <w:vertAlign w:val="superscript"/>
              </w:rPr>
              <w:t>2</w:t>
            </w:r>
          </w:p>
        </w:tc>
      </w:tr>
      <w:tr w:rsidR="00080FCD" w:rsidRPr="00D23E02" w14:paraId="20BB990A" w14:textId="77777777" w:rsidTr="00661020">
        <w:trPr>
          <w:trHeight w:val="315"/>
          <w:jc w:val="center"/>
        </w:trPr>
        <w:tc>
          <w:tcPr>
            <w:tcW w:w="9062" w:type="dxa"/>
            <w:gridSpan w:val="8"/>
            <w:vAlign w:val="center"/>
            <w:hideMark/>
          </w:tcPr>
          <w:p w14:paraId="61A8B884" w14:textId="2C535D01" w:rsidR="00080FCD" w:rsidRPr="00D23E02" w:rsidRDefault="00080FCD" w:rsidP="00AA2133">
            <w:pPr>
              <w:pStyle w:val="RepStandard"/>
              <w:spacing w:before="120" w:after="120"/>
              <w:jc w:val="center"/>
              <w:rPr>
                <w:b/>
                <w:bCs/>
                <w:lang w:val="en-US"/>
              </w:rPr>
            </w:pPr>
            <w:r w:rsidRPr="00D23E02">
              <w:rPr>
                <w:b/>
                <w:bCs/>
              </w:rPr>
              <w:t>Fish, acute toxicity</w:t>
            </w:r>
            <w:r w:rsidR="00462FB8" w:rsidRPr="00462FB8">
              <w:rPr>
                <w:b/>
                <w:bCs/>
                <w:vertAlign w:val="superscript"/>
              </w:rPr>
              <w:t>1</w:t>
            </w:r>
          </w:p>
        </w:tc>
      </w:tr>
      <w:tr w:rsidR="00080FCD" w:rsidRPr="00D23E02" w14:paraId="29FA670B" w14:textId="77777777" w:rsidTr="00661020">
        <w:trPr>
          <w:trHeight w:val="300"/>
          <w:jc w:val="center"/>
        </w:trPr>
        <w:tc>
          <w:tcPr>
            <w:tcW w:w="1202" w:type="dxa"/>
            <w:noWrap/>
            <w:vAlign w:val="center"/>
            <w:hideMark/>
          </w:tcPr>
          <w:p w14:paraId="57EADC7D" w14:textId="77777777" w:rsidR="00080FCD" w:rsidRPr="005C21D1" w:rsidRDefault="00080FCD" w:rsidP="00AA2133">
            <w:pPr>
              <w:pStyle w:val="RepStandard"/>
              <w:spacing w:before="120" w:after="120"/>
              <w:jc w:val="left"/>
              <w:rPr>
                <w:i/>
                <w:iCs/>
                <w:highlight w:val="yellow"/>
                <w:lang w:val="en-US"/>
              </w:rPr>
            </w:pPr>
            <w:r w:rsidRPr="005C21D1">
              <w:rPr>
                <w:i/>
                <w:iCs/>
                <w:highlight w:val="yellow"/>
                <w:lang w:val="en-US"/>
              </w:rPr>
              <w:t>species sp.</w:t>
            </w:r>
          </w:p>
        </w:tc>
        <w:tc>
          <w:tcPr>
            <w:tcW w:w="1170" w:type="dxa"/>
            <w:vAlign w:val="center"/>
          </w:tcPr>
          <w:p w14:paraId="681988AA" w14:textId="77777777" w:rsidR="00080FCD" w:rsidRPr="005C21D1" w:rsidRDefault="00080FCD" w:rsidP="00AA2133">
            <w:pPr>
              <w:pStyle w:val="RepStandard"/>
              <w:spacing w:before="120" w:after="120"/>
              <w:jc w:val="center"/>
              <w:rPr>
                <w:highlight w:val="yellow"/>
                <w:lang w:val="en-US"/>
              </w:rPr>
            </w:pPr>
            <w:r w:rsidRPr="005C21D1">
              <w:rPr>
                <w:highlight w:val="yellow"/>
                <w:lang w:val="en-US"/>
              </w:rPr>
              <w:t>a.s.1</w:t>
            </w:r>
          </w:p>
        </w:tc>
        <w:tc>
          <w:tcPr>
            <w:tcW w:w="1573" w:type="dxa"/>
            <w:vAlign w:val="center"/>
          </w:tcPr>
          <w:p w14:paraId="369CD91F" w14:textId="77777777" w:rsidR="00080FCD" w:rsidRPr="00D23E02" w:rsidRDefault="00080FCD" w:rsidP="00AA2133">
            <w:pPr>
              <w:pStyle w:val="RepStandard"/>
              <w:spacing w:before="120" w:after="120"/>
              <w:jc w:val="center"/>
              <w:rPr>
                <w:lang w:val="en-US"/>
              </w:rPr>
            </w:pPr>
          </w:p>
        </w:tc>
        <w:tc>
          <w:tcPr>
            <w:tcW w:w="905" w:type="dxa"/>
            <w:vAlign w:val="center"/>
          </w:tcPr>
          <w:p w14:paraId="3A423B4D" w14:textId="77777777" w:rsidR="00080FCD" w:rsidRPr="00D23E02" w:rsidRDefault="00080FCD" w:rsidP="00AA2133">
            <w:pPr>
              <w:pStyle w:val="RepStandard"/>
              <w:spacing w:before="120" w:after="120"/>
              <w:jc w:val="center"/>
              <w:rPr>
                <w:lang w:val="en-US"/>
              </w:rPr>
            </w:pPr>
          </w:p>
        </w:tc>
        <w:tc>
          <w:tcPr>
            <w:tcW w:w="1042" w:type="dxa"/>
            <w:vAlign w:val="center"/>
          </w:tcPr>
          <w:p w14:paraId="19E9C5ED" w14:textId="77777777" w:rsidR="00080FCD" w:rsidRPr="00D23E02" w:rsidRDefault="00080FCD" w:rsidP="00AA2133">
            <w:pPr>
              <w:pStyle w:val="RepStandard"/>
              <w:spacing w:before="120" w:after="120"/>
              <w:jc w:val="center"/>
              <w:rPr>
                <w:lang w:val="en-US"/>
              </w:rPr>
            </w:pPr>
          </w:p>
        </w:tc>
        <w:tc>
          <w:tcPr>
            <w:tcW w:w="1191" w:type="dxa"/>
            <w:vMerge w:val="restart"/>
            <w:vAlign w:val="center"/>
          </w:tcPr>
          <w:p w14:paraId="385ADD7B" w14:textId="77777777" w:rsidR="00080FCD" w:rsidRPr="00D23E02" w:rsidRDefault="00080FCD" w:rsidP="00AA2133">
            <w:pPr>
              <w:pStyle w:val="RepStandard"/>
              <w:spacing w:before="120" w:after="120"/>
              <w:jc w:val="center"/>
              <w:rPr>
                <w:lang w:val="en-US"/>
              </w:rPr>
            </w:pPr>
          </w:p>
        </w:tc>
        <w:tc>
          <w:tcPr>
            <w:tcW w:w="1134" w:type="dxa"/>
            <w:vMerge w:val="restart"/>
            <w:vAlign w:val="center"/>
          </w:tcPr>
          <w:p w14:paraId="10EF7CFF" w14:textId="77777777" w:rsidR="00080FCD" w:rsidRPr="00D23E02" w:rsidRDefault="00080FCD" w:rsidP="00AA2133">
            <w:pPr>
              <w:pStyle w:val="RepStandard"/>
              <w:spacing w:before="120" w:after="120"/>
              <w:jc w:val="center"/>
              <w:rPr>
                <w:lang w:val="en-US"/>
              </w:rPr>
            </w:pPr>
          </w:p>
        </w:tc>
        <w:tc>
          <w:tcPr>
            <w:tcW w:w="845" w:type="dxa"/>
            <w:vMerge w:val="restart"/>
            <w:vAlign w:val="center"/>
          </w:tcPr>
          <w:p w14:paraId="4E9AF6C9" w14:textId="77777777" w:rsidR="00080FCD" w:rsidRPr="00D23E02" w:rsidRDefault="00080FCD" w:rsidP="00AA2133">
            <w:pPr>
              <w:pStyle w:val="RepStandard"/>
              <w:spacing w:before="120" w:after="120"/>
              <w:jc w:val="center"/>
              <w:rPr>
                <w:lang w:val="en-US"/>
              </w:rPr>
            </w:pPr>
          </w:p>
        </w:tc>
      </w:tr>
      <w:tr w:rsidR="00080FCD" w:rsidRPr="00D23E02" w14:paraId="75799C19" w14:textId="77777777" w:rsidTr="00661020">
        <w:trPr>
          <w:trHeight w:val="300"/>
          <w:jc w:val="center"/>
        </w:trPr>
        <w:tc>
          <w:tcPr>
            <w:tcW w:w="1202" w:type="dxa"/>
            <w:noWrap/>
            <w:vAlign w:val="center"/>
            <w:hideMark/>
          </w:tcPr>
          <w:p w14:paraId="064FEBAA" w14:textId="77777777" w:rsidR="00080FCD" w:rsidRPr="005C21D1" w:rsidRDefault="00080FCD" w:rsidP="00AA2133">
            <w:pPr>
              <w:pStyle w:val="RepStandard"/>
              <w:spacing w:before="120" w:after="120"/>
              <w:jc w:val="left"/>
              <w:rPr>
                <w:i/>
                <w:iCs/>
                <w:highlight w:val="yellow"/>
                <w:lang w:val="en-US"/>
              </w:rPr>
            </w:pPr>
            <w:r w:rsidRPr="005C21D1">
              <w:rPr>
                <w:i/>
                <w:iCs/>
                <w:highlight w:val="yellow"/>
                <w:lang w:val="en-US"/>
              </w:rPr>
              <w:t>species sp.</w:t>
            </w:r>
          </w:p>
        </w:tc>
        <w:tc>
          <w:tcPr>
            <w:tcW w:w="1170" w:type="dxa"/>
            <w:vAlign w:val="center"/>
          </w:tcPr>
          <w:p w14:paraId="431083FE" w14:textId="77777777" w:rsidR="00080FCD" w:rsidRPr="005C21D1" w:rsidRDefault="00080FCD" w:rsidP="00AA2133">
            <w:pPr>
              <w:pStyle w:val="RepStandard"/>
              <w:spacing w:before="120" w:after="120"/>
              <w:jc w:val="center"/>
              <w:rPr>
                <w:highlight w:val="yellow"/>
                <w:lang w:val="en-US"/>
              </w:rPr>
            </w:pPr>
            <w:r w:rsidRPr="005C21D1">
              <w:rPr>
                <w:highlight w:val="yellow"/>
                <w:lang w:val="en-US"/>
              </w:rPr>
              <w:t>a.s.2</w:t>
            </w:r>
          </w:p>
        </w:tc>
        <w:tc>
          <w:tcPr>
            <w:tcW w:w="1573" w:type="dxa"/>
            <w:vAlign w:val="center"/>
          </w:tcPr>
          <w:p w14:paraId="6BA479B1" w14:textId="77777777" w:rsidR="00080FCD" w:rsidRPr="00D23E02" w:rsidRDefault="00080FCD" w:rsidP="00AA2133">
            <w:pPr>
              <w:pStyle w:val="RepStandard"/>
              <w:spacing w:before="120" w:after="120"/>
              <w:jc w:val="center"/>
              <w:rPr>
                <w:lang w:val="en-US"/>
              </w:rPr>
            </w:pPr>
          </w:p>
        </w:tc>
        <w:tc>
          <w:tcPr>
            <w:tcW w:w="905" w:type="dxa"/>
            <w:vAlign w:val="center"/>
          </w:tcPr>
          <w:p w14:paraId="1FDD7403" w14:textId="77777777" w:rsidR="00080FCD" w:rsidRPr="00D23E02" w:rsidRDefault="00080FCD" w:rsidP="00AA2133">
            <w:pPr>
              <w:pStyle w:val="RepStandard"/>
              <w:spacing w:before="120" w:after="120"/>
              <w:jc w:val="center"/>
              <w:rPr>
                <w:lang w:val="en-US"/>
              </w:rPr>
            </w:pPr>
          </w:p>
        </w:tc>
        <w:tc>
          <w:tcPr>
            <w:tcW w:w="1042" w:type="dxa"/>
            <w:vAlign w:val="center"/>
          </w:tcPr>
          <w:p w14:paraId="0DB8628C" w14:textId="77777777" w:rsidR="00080FCD" w:rsidRPr="00D23E02" w:rsidRDefault="00080FCD" w:rsidP="00AA2133">
            <w:pPr>
              <w:pStyle w:val="RepStandard"/>
              <w:spacing w:before="120" w:after="120"/>
              <w:jc w:val="center"/>
              <w:rPr>
                <w:lang w:val="en-US"/>
              </w:rPr>
            </w:pPr>
          </w:p>
        </w:tc>
        <w:tc>
          <w:tcPr>
            <w:tcW w:w="1191" w:type="dxa"/>
            <w:vMerge/>
            <w:vAlign w:val="center"/>
          </w:tcPr>
          <w:p w14:paraId="75A944F6" w14:textId="77777777" w:rsidR="00080FCD" w:rsidRPr="00D23E02" w:rsidRDefault="00080FCD" w:rsidP="00AA2133">
            <w:pPr>
              <w:pStyle w:val="RepStandard"/>
              <w:spacing w:before="120" w:after="120"/>
              <w:jc w:val="center"/>
              <w:rPr>
                <w:lang w:val="en-US"/>
              </w:rPr>
            </w:pPr>
          </w:p>
        </w:tc>
        <w:tc>
          <w:tcPr>
            <w:tcW w:w="1134" w:type="dxa"/>
            <w:vMerge/>
            <w:vAlign w:val="center"/>
          </w:tcPr>
          <w:p w14:paraId="79C782BB" w14:textId="77777777" w:rsidR="00080FCD" w:rsidRPr="00D23E02" w:rsidRDefault="00080FCD" w:rsidP="00AA2133">
            <w:pPr>
              <w:pStyle w:val="RepStandard"/>
              <w:spacing w:before="120" w:after="120"/>
              <w:jc w:val="center"/>
              <w:rPr>
                <w:lang w:val="en-US"/>
              </w:rPr>
            </w:pPr>
          </w:p>
        </w:tc>
        <w:tc>
          <w:tcPr>
            <w:tcW w:w="845" w:type="dxa"/>
            <w:vMerge/>
            <w:vAlign w:val="center"/>
          </w:tcPr>
          <w:p w14:paraId="75EF3964" w14:textId="77777777" w:rsidR="00080FCD" w:rsidRPr="00D23E02" w:rsidRDefault="00080FCD" w:rsidP="00AA2133">
            <w:pPr>
              <w:pStyle w:val="RepStandard"/>
              <w:spacing w:before="120" w:after="120"/>
              <w:jc w:val="center"/>
              <w:rPr>
                <w:lang w:val="en-US"/>
              </w:rPr>
            </w:pPr>
          </w:p>
        </w:tc>
      </w:tr>
      <w:tr w:rsidR="00080FCD" w:rsidRPr="00D23E02" w14:paraId="2EA8E6E9" w14:textId="77777777" w:rsidTr="00661020">
        <w:trPr>
          <w:trHeight w:val="300"/>
          <w:jc w:val="center"/>
        </w:trPr>
        <w:tc>
          <w:tcPr>
            <w:tcW w:w="1202" w:type="dxa"/>
            <w:noWrap/>
            <w:vAlign w:val="center"/>
            <w:hideMark/>
          </w:tcPr>
          <w:p w14:paraId="55666524" w14:textId="77777777" w:rsidR="00080FCD" w:rsidRPr="005C21D1" w:rsidRDefault="00080FCD" w:rsidP="00AA2133">
            <w:pPr>
              <w:pStyle w:val="RepStandard"/>
              <w:spacing w:before="120" w:after="120"/>
              <w:jc w:val="left"/>
              <w:rPr>
                <w:i/>
                <w:iCs/>
                <w:highlight w:val="yellow"/>
                <w:lang w:val="en-US"/>
              </w:rPr>
            </w:pPr>
            <w:r w:rsidRPr="005C21D1">
              <w:rPr>
                <w:i/>
                <w:iCs/>
                <w:highlight w:val="yellow"/>
                <w:lang w:val="en-US"/>
              </w:rPr>
              <w:t>species sp.</w:t>
            </w:r>
          </w:p>
        </w:tc>
        <w:tc>
          <w:tcPr>
            <w:tcW w:w="1170" w:type="dxa"/>
            <w:vAlign w:val="center"/>
          </w:tcPr>
          <w:p w14:paraId="5442EBDF" w14:textId="77777777" w:rsidR="00080FCD" w:rsidRPr="005C21D1" w:rsidRDefault="00080FCD" w:rsidP="00AA2133">
            <w:pPr>
              <w:pStyle w:val="RepStandard"/>
              <w:spacing w:before="120" w:after="120"/>
              <w:jc w:val="center"/>
              <w:rPr>
                <w:highlight w:val="yellow"/>
                <w:lang w:val="en-US"/>
              </w:rPr>
            </w:pPr>
            <w:r w:rsidRPr="005C21D1">
              <w:rPr>
                <w:highlight w:val="yellow"/>
                <w:lang w:val="en-US"/>
              </w:rPr>
              <w:t>a.s.3</w:t>
            </w:r>
          </w:p>
        </w:tc>
        <w:tc>
          <w:tcPr>
            <w:tcW w:w="1573" w:type="dxa"/>
            <w:vAlign w:val="center"/>
          </w:tcPr>
          <w:p w14:paraId="265FA307" w14:textId="77777777" w:rsidR="00080FCD" w:rsidRPr="00D23E02" w:rsidRDefault="00080FCD" w:rsidP="00AA2133">
            <w:pPr>
              <w:pStyle w:val="RepStandard"/>
              <w:spacing w:before="120" w:after="120"/>
              <w:jc w:val="center"/>
              <w:rPr>
                <w:lang w:val="en-US"/>
              </w:rPr>
            </w:pPr>
          </w:p>
        </w:tc>
        <w:tc>
          <w:tcPr>
            <w:tcW w:w="905" w:type="dxa"/>
            <w:vAlign w:val="center"/>
          </w:tcPr>
          <w:p w14:paraId="3DFE154A" w14:textId="77777777" w:rsidR="00080FCD" w:rsidRPr="00D23E02" w:rsidRDefault="00080FCD" w:rsidP="00AA2133">
            <w:pPr>
              <w:pStyle w:val="RepStandard"/>
              <w:spacing w:before="120" w:after="120"/>
              <w:jc w:val="center"/>
              <w:rPr>
                <w:lang w:val="en-US"/>
              </w:rPr>
            </w:pPr>
          </w:p>
        </w:tc>
        <w:tc>
          <w:tcPr>
            <w:tcW w:w="1042" w:type="dxa"/>
            <w:vAlign w:val="center"/>
          </w:tcPr>
          <w:p w14:paraId="5783983D" w14:textId="77777777" w:rsidR="00080FCD" w:rsidRPr="00D23E02" w:rsidRDefault="00080FCD" w:rsidP="00AA2133">
            <w:pPr>
              <w:pStyle w:val="RepStandard"/>
              <w:spacing w:before="120" w:after="120"/>
              <w:jc w:val="center"/>
              <w:rPr>
                <w:lang w:val="en-US"/>
              </w:rPr>
            </w:pPr>
          </w:p>
        </w:tc>
        <w:tc>
          <w:tcPr>
            <w:tcW w:w="1191" w:type="dxa"/>
            <w:vMerge/>
            <w:vAlign w:val="center"/>
          </w:tcPr>
          <w:p w14:paraId="6E744CA0" w14:textId="77777777" w:rsidR="00080FCD" w:rsidRPr="00D23E02" w:rsidRDefault="00080FCD" w:rsidP="00AA2133">
            <w:pPr>
              <w:pStyle w:val="RepStandard"/>
              <w:spacing w:before="120" w:after="120"/>
              <w:jc w:val="center"/>
              <w:rPr>
                <w:lang w:val="en-US"/>
              </w:rPr>
            </w:pPr>
          </w:p>
        </w:tc>
        <w:tc>
          <w:tcPr>
            <w:tcW w:w="1134" w:type="dxa"/>
            <w:vMerge/>
            <w:vAlign w:val="center"/>
          </w:tcPr>
          <w:p w14:paraId="7EAC889D" w14:textId="77777777" w:rsidR="00080FCD" w:rsidRPr="00D23E02" w:rsidRDefault="00080FCD" w:rsidP="00AA2133">
            <w:pPr>
              <w:pStyle w:val="RepStandard"/>
              <w:spacing w:before="120" w:after="120"/>
              <w:jc w:val="center"/>
              <w:rPr>
                <w:lang w:val="en-US"/>
              </w:rPr>
            </w:pPr>
          </w:p>
        </w:tc>
        <w:tc>
          <w:tcPr>
            <w:tcW w:w="845" w:type="dxa"/>
            <w:vMerge/>
            <w:vAlign w:val="center"/>
          </w:tcPr>
          <w:p w14:paraId="3C01DDDB" w14:textId="77777777" w:rsidR="00080FCD" w:rsidRPr="00D23E02" w:rsidRDefault="00080FCD" w:rsidP="00AA2133">
            <w:pPr>
              <w:pStyle w:val="RepStandard"/>
              <w:spacing w:before="120" w:after="120"/>
              <w:jc w:val="center"/>
              <w:rPr>
                <w:lang w:val="en-US"/>
              </w:rPr>
            </w:pPr>
          </w:p>
        </w:tc>
      </w:tr>
      <w:tr w:rsidR="00080FCD" w:rsidRPr="00D23E02" w14:paraId="4BDB6FF2" w14:textId="77777777" w:rsidTr="00661020">
        <w:trPr>
          <w:trHeight w:val="315"/>
          <w:jc w:val="center"/>
        </w:trPr>
        <w:tc>
          <w:tcPr>
            <w:tcW w:w="1202" w:type="dxa"/>
            <w:noWrap/>
            <w:vAlign w:val="center"/>
            <w:hideMark/>
          </w:tcPr>
          <w:p w14:paraId="20AF5602" w14:textId="77777777" w:rsidR="00080FCD" w:rsidRPr="005C21D1" w:rsidRDefault="00080FCD" w:rsidP="00AA2133">
            <w:pPr>
              <w:pStyle w:val="RepStandard"/>
              <w:spacing w:before="120" w:after="120"/>
              <w:jc w:val="left"/>
              <w:rPr>
                <w:i/>
                <w:iCs/>
                <w:highlight w:val="yellow"/>
                <w:lang w:val="en-US"/>
              </w:rPr>
            </w:pPr>
            <w:r w:rsidRPr="005C21D1">
              <w:rPr>
                <w:i/>
                <w:iCs/>
                <w:highlight w:val="yellow"/>
                <w:lang w:val="en-US"/>
              </w:rPr>
              <w:t>species sp.</w:t>
            </w:r>
          </w:p>
        </w:tc>
        <w:tc>
          <w:tcPr>
            <w:tcW w:w="1170" w:type="dxa"/>
            <w:vAlign w:val="center"/>
          </w:tcPr>
          <w:p w14:paraId="01834AA5" w14:textId="77777777" w:rsidR="00080FCD" w:rsidRPr="005C21D1" w:rsidRDefault="00080FCD" w:rsidP="00AA2133">
            <w:pPr>
              <w:pStyle w:val="RepStandard"/>
              <w:spacing w:before="120" w:after="120"/>
              <w:jc w:val="center"/>
              <w:rPr>
                <w:highlight w:val="yellow"/>
                <w:lang w:val="en-US"/>
              </w:rPr>
            </w:pPr>
            <w:r w:rsidRPr="005C21D1">
              <w:rPr>
                <w:highlight w:val="yellow"/>
                <w:lang w:val="en-US"/>
              </w:rPr>
              <w:t>a.s.4</w:t>
            </w:r>
          </w:p>
        </w:tc>
        <w:tc>
          <w:tcPr>
            <w:tcW w:w="1573" w:type="dxa"/>
            <w:vAlign w:val="center"/>
          </w:tcPr>
          <w:p w14:paraId="24D34D19" w14:textId="77777777" w:rsidR="00080FCD" w:rsidRPr="00D23E02" w:rsidRDefault="00080FCD" w:rsidP="00AA2133">
            <w:pPr>
              <w:pStyle w:val="RepStandard"/>
              <w:spacing w:before="120" w:after="120"/>
              <w:jc w:val="center"/>
              <w:rPr>
                <w:lang w:val="en-US"/>
              </w:rPr>
            </w:pPr>
          </w:p>
        </w:tc>
        <w:tc>
          <w:tcPr>
            <w:tcW w:w="905" w:type="dxa"/>
            <w:vAlign w:val="center"/>
          </w:tcPr>
          <w:p w14:paraId="5941718D" w14:textId="77777777" w:rsidR="00080FCD" w:rsidRPr="00D23E02" w:rsidRDefault="00080FCD" w:rsidP="00AA2133">
            <w:pPr>
              <w:pStyle w:val="RepStandard"/>
              <w:spacing w:before="120" w:after="120"/>
              <w:jc w:val="center"/>
              <w:rPr>
                <w:lang w:val="en-US"/>
              </w:rPr>
            </w:pPr>
          </w:p>
        </w:tc>
        <w:tc>
          <w:tcPr>
            <w:tcW w:w="1042" w:type="dxa"/>
            <w:vAlign w:val="center"/>
          </w:tcPr>
          <w:p w14:paraId="3EAE1FC7" w14:textId="77777777" w:rsidR="00080FCD" w:rsidRPr="00D23E02" w:rsidRDefault="00080FCD" w:rsidP="00AA2133">
            <w:pPr>
              <w:pStyle w:val="RepStandard"/>
              <w:spacing w:before="120" w:after="120"/>
              <w:jc w:val="center"/>
              <w:rPr>
                <w:lang w:val="en-US"/>
              </w:rPr>
            </w:pPr>
          </w:p>
        </w:tc>
        <w:tc>
          <w:tcPr>
            <w:tcW w:w="1191" w:type="dxa"/>
            <w:vMerge/>
            <w:vAlign w:val="center"/>
          </w:tcPr>
          <w:p w14:paraId="3905E684" w14:textId="77777777" w:rsidR="00080FCD" w:rsidRPr="00D23E02" w:rsidRDefault="00080FCD" w:rsidP="00AA2133">
            <w:pPr>
              <w:pStyle w:val="RepStandard"/>
              <w:spacing w:before="120" w:after="120"/>
              <w:jc w:val="center"/>
              <w:rPr>
                <w:lang w:val="en-US"/>
              </w:rPr>
            </w:pPr>
          </w:p>
        </w:tc>
        <w:tc>
          <w:tcPr>
            <w:tcW w:w="1134" w:type="dxa"/>
            <w:vMerge/>
            <w:vAlign w:val="center"/>
          </w:tcPr>
          <w:p w14:paraId="32692BE6" w14:textId="77777777" w:rsidR="00080FCD" w:rsidRPr="00D23E02" w:rsidRDefault="00080FCD" w:rsidP="00AA2133">
            <w:pPr>
              <w:pStyle w:val="RepStandard"/>
              <w:spacing w:before="120" w:after="120"/>
              <w:jc w:val="center"/>
              <w:rPr>
                <w:lang w:val="en-US"/>
              </w:rPr>
            </w:pPr>
          </w:p>
        </w:tc>
        <w:tc>
          <w:tcPr>
            <w:tcW w:w="845" w:type="dxa"/>
            <w:vMerge/>
            <w:vAlign w:val="center"/>
          </w:tcPr>
          <w:p w14:paraId="07C5D726" w14:textId="77777777" w:rsidR="00080FCD" w:rsidRPr="00D23E02" w:rsidRDefault="00080FCD" w:rsidP="00AA2133">
            <w:pPr>
              <w:pStyle w:val="RepStandard"/>
              <w:spacing w:before="120" w:after="120"/>
              <w:jc w:val="center"/>
              <w:rPr>
                <w:lang w:val="en-US"/>
              </w:rPr>
            </w:pPr>
          </w:p>
        </w:tc>
      </w:tr>
      <w:tr w:rsidR="00080FCD" w:rsidRPr="00D23E02" w14:paraId="28A3413E" w14:textId="77777777" w:rsidTr="00661020">
        <w:trPr>
          <w:trHeight w:val="315"/>
          <w:jc w:val="center"/>
        </w:trPr>
        <w:tc>
          <w:tcPr>
            <w:tcW w:w="9062" w:type="dxa"/>
            <w:gridSpan w:val="8"/>
            <w:vAlign w:val="center"/>
            <w:hideMark/>
          </w:tcPr>
          <w:p w14:paraId="3C627806" w14:textId="1523AB62" w:rsidR="00080FCD" w:rsidRPr="00D23E02" w:rsidRDefault="00080FCD" w:rsidP="00AA2133">
            <w:pPr>
              <w:pStyle w:val="RepStandard"/>
              <w:spacing w:before="120" w:after="120"/>
              <w:jc w:val="center"/>
              <w:rPr>
                <w:b/>
                <w:bCs/>
                <w:lang w:val="en-US"/>
              </w:rPr>
            </w:pPr>
            <w:r w:rsidRPr="00D23E02">
              <w:rPr>
                <w:b/>
                <w:bCs/>
              </w:rPr>
              <w:t>Invertebrates, acute toxicity</w:t>
            </w:r>
            <w:r w:rsidR="00462FB8" w:rsidRPr="00462FB8">
              <w:rPr>
                <w:b/>
                <w:bCs/>
                <w:vertAlign w:val="superscript"/>
              </w:rPr>
              <w:t>1</w:t>
            </w:r>
          </w:p>
        </w:tc>
      </w:tr>
      <w:tr w:rsidR="00080FCD" w:rsidRPr="00D23E02" w14:paraId="56177697" w14:textId="77777777" w:rsidTr="00661020">
        <w:trPr>
          <w:trHeight w:val="300"/>
          <w:jc w:val="center"/>
        </w:trPr>
        <w:tc>
          <w:tcPr>
            <w:tcW w:w="1202" w:type="dxa"/>
            <w:noWrap/>
            <w:vAlign w:val="center"/>
            <w:hideMark/>
          </w:tcPr>
          <w:p w14:paraId="1A0AB0CE" w14:textId="77777777" w:rsidR="00080FCD" w:rsidRPr="005C21D1" w:rsidRDefault="00080FCD" w:rsidP="00AA2133">
            <w:pPr>
              <w:pStyle w:val="RepStandard"/>
              <w:spacing w:before="120" w:after="120"/>
              <w:jc w:val="left"/>
              <w:rPr>
                <w:i/>
                <w:iCs/>
                <w:highlight w:val="yellow"/>
                <w:lang w:val="en-US"/>
              </w:rPr>
            </w:pPr>
            <w:r w:rsidRPr="005C21D1">
              <w:rPr>
                <w:i/>
                <w:iCs/>
                <w:highlight w:val="yellow"/>
                <w:lang w:val="en-US"/>
              </w:rPr>
              <w:t>species sp.</w:t>
            </w:r>
          </w:p>
        </w:tc>
        <w:tc>
          <w:tcPr>
            <w:tcW w:w="1170" w:type="dxa"/>
            <w:vAlign w:val="center"/>
            <w:hideMark/>
          </w:tcPr>
          <w:p w14:paraId="272D9B0A" w14:textId="77777777" w:rsidR="00080FCD" w:rsidRPr="005C21D1" w:rsidRDefault="00080FCD" w:rsidP="00AA2133">
            <w:pPr>
              <w:pStyle w:val="RepStandard"/>
              <w:spacing w:before="120" w:after="120"/>
              <w:jc w:val="center"/>
              <w:rPr>
                <w:highlight w:val="yellow"/>
                <w:lang w:val="en-US"/>
              </w:rPr>
            </w:pPr>
            <w:r w:rsidRPr="005C21D1">
              <w:rPr>
                <w:highlight w:val="yellow"/>
                <w:lang w:val="en-US"/>
              </w:rPr>
              <w:t>a.s.1</w:t>
            </w:r>
          </w:p>
        </w:tc>
        <w:tc>
          <w:tcPr>
            <w:tcW w:w="1573" w:type="dxa"/>
            <w:vAlign w:val="center"/>
          </w:tcPr>
          <w:p w14:paraId="1BA19E0F" w14:textId="77777777" w:rsidR="00080FCD" w:rsidRPr="00D23E02" w:rsidRDefault="00080FCD" w:rsidP="00AA2133">
            <w:pPr>
              <w:pStyle w:val="RepStandard"/>
              <w:spacing w:before="120" w:after="120"/>
              <w:jc w:val="center"/>
              <w:rPr>
                <w:lang w:val="en-US"/>
              </w:rPr>
            </w:pPr>
          </w:p>
        </w:tc>
        <w:tc>
          <w:tcPr>
            <w:tcW w:w="905" w:type="dxa"/>
            <w:vAlign w:val="center"/>
          </w:tcPr>
          <w:p w14:paraId="22396D9B" w14:textId="77777777" w:rsidR="00080FCD" w:rsidRPr="00D23E02" w:rsidRDefault="00080FCD" w:rsidP="00AA2133">
            <w:pPr>
              <w:pStyle w:val="RepStandard"/>
              <w:spacing w:before="120" w:after="120"/>
              <w:jc w:val="center"/>
              <w:rPr>
                <w:lang w:val="en-US"/>
              </w:rPr>
            </w:pPr>
          </w:p>
        </w:tc>
        <w:tc>
          <w:tcPr>
            <w:tcW w:w="1042" w:type="dxa"/>
            <w:vAlign w:val="center"/>
          </w:tcPr>
          <w:p w14:paraId="102EAA14" w14:textId="77777777" w:rsidR="00080FCD" w:rsidRPr="00D23E02" w:rsidRDefault="00080FCD" w:rsidP="00AA2133">
            <w:pPr>
              <w:pStyle w:val="RepStandard"/>
              <w:spacing w:before="120" w:after="120"/>
              <w:jc w:val="center"/>
              <w:rPr>
                <w:lang w:val="en-US"/>
              </w:rPr>
            </w:pPr>
          </w:p>
        </w:tc>
        <w:tc>
          <w:tcPr>
            <w:tcW w:w="1191" w:type="dxa"/>
            <w:vMerge w:val="restart"/>
            <w:vAlign w:val="center"/>
          </w:tcPr>
          <w:p w14:paraId="693F81C7" w14:textId="77777777" w:rsidR="00080FCD" w:rsidRPr="00D23E02" w:rsidRDefault="00080FCD" w:rsidP="00AA2133">
            <w:pPr>
              <w:pStyle w:val="RepStandard"/>
              <w:spacing w:before="120" w:after="120"/>
              <w:jc w:val="center"/>
              <w:rPr>
                <w:lang w:val="en-US"/>
              </w:rPr>
            </w:pPr>
          </w:p>
        </w:tc>
        <w:tc>
          <w:tcPr>
            <w:tcW w:w="1134" w:type="dxa"/>
            <w:vMerge w:val="restart"/>
            <w:vAlign w:val="center"/>
          </w:tcPr>
          <w:p w14:paraId="44629831" w14:textId="77777777" w:rsidR="00080FCD" w:rsidRPr="00D23E02" w:rsidRDefault="00080FCD" w:rsidP="00AA2133">
            <w:pPr>
              <w:pStyle w:val="RepStandard"/>
              <w:spacing w:before="120" w:after="120"/>
              <w:jc w:val="center"/>
              <w:rPr>
                <w:lang w:val="en-US"/>
              </w:rPr>
            </w:pPr>
          </w:p>
        </w:tc>
        <w:tc>
          <w:tcPr>
            <w:tcW w:w="845" w:type="dxa"/>
            <w:vMerge w:val="restart"/>
            <w:vAlign w:val="center"/>
          </w:tcPr>
          <w:p w14:paraId="15757508" w14:textId="77777777" w:rsidR="00080FCD" w:rsidRPr="00D23E02" w:rsidRDefault="00080FCD" w:rsidP="00AA2133">
            <w:pPr>
              <w:pStyle w:val="RepStandard"/>
              <w:spacing w:before="120" w:after="120"/>
              <w:jc w:val="center"/>
              <w:rPr>
                <w:lang w:val="en-US"/>
              </w:rPr>
            </w:pPr>
          </w:p>
        </w:tc>
      </w:tr>
      <w:tr w:rsidR="00080FCD" w:rsidRPr="00D23E02" w14:paraId="58F203E8" w14:textId="77777777" w:rsidTr="00661020">
        <w:trPr>
          <w:trHeight w:val="300"/>
          <w:jc w:val="center"/>
        </w:trPr>
        <w:tc>
          <w:tcPr>
            <w:tcW w:w="1202" w:type="dxa"/>
            <w:noWrap/>
            <w:vAlign w:val="center"/>
            <w:hideMark/>
          </w:tcPr>
          <w:p w14:paraId="5D2D7205" w14:textId="77777777" w:rsidR="00080FCD" w:rsidRPr="005C21D1" w:rsidRDefault="00080FCD" w:rsidP="00AA2133">
            <w:pPr>
              <w:pStyle w:val="RepStandard"/>
              <w:spacing w:before="120" w:after="120"/>
              <w:jc w:val="left"/>
              <w:rPr>
                <w:i/>
                <w:iCs/>
                <w:highlight w:val="yellow"/>
                <w:lang w:val="en-US"/>
              </w:rPr>
            </w:pPr>
            <w:r w:rsidRPr="005C21D1">
              <w:rPr>
                <w:i/>
                <w:iCs/>
                <w:highlight w:val="yellow"/>
                <w:lang w:val="en-US"/>
              </w:rPr>
              <w:t>species sp.</w:t>
            </w:r>
          </w:p>
        </w:tc>
        <w:tc>
          <w:tcPr>
            <w:tcW w:w="1170" w:type="dxa"/>
            <w:vAlign w:val="center"/>
            <w:hideMark/>
          </w:tcPr>
          <w:p w14:paraId="337C0AA0" w14:textId="77777777" w:rsidR="00080FCD" w:rsidRPr="005C21D1" w:rsidRDefault="00080FCD" w:rsidP="00AA2133">
            <w:pPr>
              <w:pStyle w:val="RepStandard"/>
              <w:spacing w:before="120" w:after="120"/>
              <w:jc w:val="center"/>
              <w:rPr>
                <w:highlight w:val="yellow"/>
                <w:lang w:val="en-US"/>
              </w:rPr>
            </w:pPr>
            <w:r w:rsidRPr="005C21D1">
              <w:rPr>
                <w:highlight w:val="yellow"/>
                <w:lang w:val="en-US"/>
              </w:rPr>
              <w:t>a.s.2</w:t>
            </w:r>
          </w:p>
        </w:tc>
        <w:tc>
          <w:tcPr>
            <w:tcW w:w="1573" w:type="dxa"/>
            <w:vAlign w:val="center"/>
          </w:tcPr>
          <w:p w14:paraId="38B069AD" w14:textId="77777777" w:rsidR="00080FCD" w:rsidRPr="00D23E02" w:rsidRDefault="00080FCD" w:rsidP="00AA2133">
            <w:pPr>
              <w:pStyle w:val="RepStandard"/>
              <w:spacing w:before="120" w:after="120"/>
              <w:jc w:val="center"/>
              <w:rPr>
                <w:lang w:val="en-US"/>
              </w:rPr>
            </w:pPr>
          </w:p>
        </w:tc>
        <w:tc>
          <w:tcPr>
            <w:tcW w:w="905" w:type="dxa"/>
            <w:vAlign w:val="center"/>
          </w:tcPr>
          <w:p w14:paraId="62D2EB9C" w14:textId="77777777" w:rsidR="00080FCD" w:rsidRPr="00D23E02" w:rsidRDefault="00080FCD" w:rsidP="00AA2133">
            <w:pPr>
              <w:pStyle w:val="RepStandard"/>
              <w:spacing w:before="120" w:after="120"/>
              <w:jc w:val="center"/>
              <w:rPr>
                <w:lang w:val="en-US"/>
              </w:rPr>
            </w:pPr>
          </w:p>
        </w:tc>
        <w:tc>
          <w:tcPr>
            <w:tcW w:w="1042" w:type="dxa"/>
            <w:vAlign w:val="center"/>
          </w:tcPr>
          <w:p w14:paraId="50A5B0BD" w14:textId="77777777" w:rsidR="00080FCD" w:rsidRPr="00D23E02" w:rsidRDefault="00080FCD" w:rsidP="00AA2133">
            <w:pPr>
              <w:pStyle w:val="RepStandard"/>
              <w:spacing w:before="120" w:after="120"/>
              <w:jc w:val="center"/>
              <w:rPr>
                <w:lang w:val="en-US"/>
              </w:rPr>
            </w:pPr>
          </w:p>
        </w:tc>
        <w:tc>
          <w:tcPr>
            <w:tcW w:w="1191" w:type="dxa"/>
            <w:vMerge/>
            <w:vAlign w:val="center"/>
          </w:tcPr>
          <w:p w14:paraId="7F7A202B" w14:textId="77777777" w:rsidR="00080FCD" w:rsidRPr="00D23E02" w:rsidRDefault="00080FCD" w:rsidP="00AA2133">
            <w:pPr>
              <w:pStyle w:val="RepStandard"/>
              <w:spacing w:before="120" w:after="120"/>
              <w:jc w:val="center"/>
              <w:rPr>
                <w:lang w:val="en-US"/>
              </w:rPr>
            </w:pPr>
          </w:p>
        </w:tc>
        <w:tc>
          <w:tcPr>
            <w:tcW w:w="1134" w:type="dxa"/>
            <w:vMerge/>
            <w:vAlign w:val="center"/>
          </w:tcPr>
          <w:p w14:paraId="0B3105D7" w14:textId="77777777" w:rsidR="00080FCD" w:rsidRPr="00D23E02" w:rsidRDefault="00080FCD" w:rsidP="00AA2133">
            <w:pPr>
              <w:pStyle w:val="RepStandard"/>
              <w:spacing w:before="120" w:after="120"/>
              <w:jc w:val="center"/>
              <w:rPr>
                <w:lang w:val="en-US"/>
              </w:rPr>
            </w:pPr>
          </w:p>
        </w:tc>
        <w:tc>
          <w:tcPr>
            <w:tcW w:w="845" w:type="dxa"/>
            <w:vMerge/>
            <w:vAlign w:val="center"/>
          </w:tcPr>
          <w:p w14:paraId="72B9B217" w14:textId="77777777" w:rsidR="00080FCD" w:rsidRPr="00D23E02" w:rsidRDefault="00080FCD" w:rsidP="00AA2133">
            <w:pPr>
              <w:pStyle w:val="RepStandard"/>
              <w:spacing w:before="120" w:after="120"/>
              <w:jc w:val="center"/>
              <w:rPr>
                <w:lang w:val="en-US"/>
              </w:rPr>
            </w:pPr>
          </w:p>
        </w:tc>
      </w:tr>
      <w:tr w:rsidR="00080FCD" w:rsidRPr="00D23E02" w14:paraId="74F031AF" w14:textId="77777777" w:rsidTr="00661020">
        <w:trPr>
          <w:trHeight w:val="300"/>
          <w:jc w:val="center"/>
        </w:trPr>
        <w:tc>
          <w:tcPr>
            <w:tcW w:w="1202" w:type="dxa"/>
            <w:noWrap/>
            <w:vAlign w:val="center"/>
            <w:hideMark/>
          </w:tcPr>
          <w:p w14:paraId="578CB651" w14:textId="77777777" w:rsidR="00080FCD" w:rsidRPr="005C21D1" w:rsidRDefault="00080FCD" w:rsidP="00AA2133">
            <w:pPr>
              <w:pStyle w:val="RepStandard"/>
              <w:spacing w:before="120" w:after="120"/>
              <w:jc w:val="left"/>
              <w:rPr>
                <w:i/>
                <w:iCs/>
                <w:highlight w:val="yellow"/>
                <w:lang w:val="en-US"/>
              </w:rPr>
            </w:pPr>
            <w:r w:rsidRPr="005C21D1">
              <w:rPr>
                <w:i/>
                <w:iCs/>
                <w:highlight w:val="yellow"/>
                <w:lang w:val="en-US"/>
              </w:rPr>
              <w:t>species sp.</w:t>
            </w:r>
          </w:p>
        </w:tc>
        <w:tc>
          <w:tcPr>
            <w:tcW w:w="1170" w:type="dxa"/>
            <w:vAlign w:val="center"/>
            <w:hideMark/>
          </w:tcPr>
          <w:p w14:paraId="4C3B35DD" w14:textId="77777777" w:rsidR="00080FCD" w:rsidRPr="005C21D1" w:rsidRDefault="00080FCD" w:rsidP="00AA2133">
            <w:pPr>
              <w:pStyle w:val="RepStandard"/>
              <w:spacing w:before="120" w:after="120"/>
              <w:jc w:val="center"/>
              <w:rPr>
                <w:highlight w:val="yellow"/>
                <w:lang w:val="en-US"/>
              </w:rPr>
            </w:pPr>
            <w:r w:rsidRPr="005C21D1">
              <w:rPr>
                <w:highlight w:val="yellow"/>
                <w:lang w:val="en-US"/>
              </w:rPr>
              <w:t>a.s.3</w:t>
            </w:r>
          </w:p>
        </w:tc>
        <w:tc>
          <w:tcPr>
            <w:tcW w:w="1573" w:type="dxa"/>
            <w:vAlign w:val="center"/>
          </w:tcPr>
          <w:p w14:paraId="168E4378" w14:textId="77777777" w:rsidR="00080FCD" w:rsidRPr="00D23E02" w:rsidRDefault="00080FCD" w:rsidP="00AA2133">
            <w:pPr>
              <w:pStyle w:val="RepStandard"/>
              <w:spacing w:before="120" w:after="120"/>
              <w:jc w:val="center"/>
              <w:rPr>
                <w:lang w:val="en-US"/>
              </w:rPr>
            </w:pPr>
          </w:p>
        </w:tc>
        <w:tc>
          <w:tcPr>
            <w:tcW w:w="905" w:type="dxa"/>
            <w:vAlign w:val="center"/>
          </w:tcPr>
          <w:p w14:paraId="6ABF0073" w14:textId="77777777" w:rsidR="00080FCD" w:rsidRPr="00D23E02" w:rsidRDefault="00080FCD" w:rsidP="00AA2133">
            <w:pPr>
              <w:pStyle w:val="RepStandard"/>
              <w:spacing w:before="120" w:after="120"/>
              <w:jc w:val="center"/>
              <w:rPr>
                <w:lang w:val="en-US"/>
              </w:rPr>
            </w:pPr>
          </w:p>
        </w:tc>
        <w:tc>
          <w:tcPr>
            <w:tcW w:w="1042" w:type="dxa"/>
            <w:vAlign w:val="center"/>
          </w:tcPr>
          <w:p w14:paraId="3C811BE9" w14:textId="77777777" w:rsidR="00080FCD" w:rsidRPr="00D23E02" w:rsidRDefault="00080FCD" w:rsidP="00AA2133">
            <w:pPr>
              <w:pStyle w:val="RepStandard"/>
              <w:spacing w:before="120" w:after="120"/>
              <w:jc w:val="center"/>
              <w:rPr>
                <w:lang w:val="en-US"/>
              </w:rPr>
            </w:pPr>
          </w:p>
        </w:tc>
        <w:tc>
          <w:tcPr>
            <w:tcW w:w="1191" w:type="dxa"/>
            <w:vMerge/>
            <w:vAlign w:val="center"/>
          </w:tcPr>
          <w:p w14:paraId="40189535" w14:textId="77777777" w:rsidR="00080FCD" w:rsidRPr="00D23E02" w:rsidRDefault="00080FCD" w:rsidP="00AA2133">
            <w:pPr>
              <w:pStyle w:val="RepStandard"/>
              <w:spacing w:before="120" w:after="120"/>
              <w:jc w:val="center"/>
              <w:rPr>
                <w:lang w:val="en-US"/>
              </w:rPr>
            </w:pPr>
          </w:p>
        </w:tc>
        <w:tc>
          <w:tcPr>
            <w:tcW w:w="1134" w:type="dxa"/>
            <w:vMerge/>
            <w:vAlign w:val="center"/>
          </w:tcPr>
          <w:p w14:paraId="0A20EABF" w14:textId="77777777" w:rsidR="00080FCD" w:rsidRPr="00D23E02" w:rsidRDefault="00080FCD" w:rsidP="00AA2133">
            <w:pPr>
              <w:pStyle w:val="RepStandard"/>
              <w:spacing w:before="120" w:after="120"/>
              <w:jc w:val="center"/>
              <w:rPr>
                <w:lang w:val="en-US"/>
              </w:rPr>
            </w:pPr>
          </w:p>
        </w:tc>
        <w:tc>
          <w:tcPr>
            <w:tcW w:w="845" w:type="dxa"/>
            <w:vMerge/>
            <w:vAlign w:val="center"/>
          </w:tcPr>
          <w:p w14:paraId="2BDA68B8" w14:textId="77777777" w:rsidR="00080FCD" w:rsidRPr="00D23E02" w:rsidRDefault="00080FCD" w:rsidP="00AA2133">
            <w:pPr>
              <w:pStyle w:val="RepStandard"/>
              <w:spacing w:before="120" w:after="120"/>
              <w:jc w:val="center"/>
              <w:rPr>
                <w:lang w:val="en-US"/>
              </w:rPr>
            </w:pPr>
          </w:p>
        </w:tc>
      </w:tr>
      <w:tr w:rsidR="00080FCD" w:rsidRPr="00D23E02" w14:paraId="1F4F4CA9" w14:textId="77777777" w:rsidTr="00661020">
        <w:trPr>
          <w:trHeight w:val="315"/>
          <w:jc w:val="center"/>
        </w:trPr>
        <w:tc>
          <w:tcPr>
            <w:tcW w:w="1202" w:type="dxa"/>
            <w:noWrap/>
            <w:vAlign w:val="center"/>
            <w:hideMark/>
          </w:tcPr>
          <w:p w14:paraId="3DAEF46B" w14:textId="77777777" w:rsidR="00080FCD" w:rsidRPr="005C21D1" w:rsidRDefault="00080FCD" w:rsidP="00AA2133">
            <w:pPr>
              <w:pStyle w:val="RepStandard"/>
              <w:spacing w:before="120" w:after="120"/>
              <w:jc w:val="left"/>
              <w:rPr>
                <w:i/>
                <w:iCs/>
                <w:highlight w:val="yellow"/>
                <w:lang w:val="en-US"/>
              </w:rPr>
            </w:pPr>
            <w:r w:rsidRPr="005C21D1">
              <w:rPr>
                <w:i/>
                <w:iCs/>
                <w:highlight w:val="yellow"/>
                <w:lang w:val="en-US"/>
              </w:rPr>
              <w:t>species sp.</w:t>
            </w:r>
          </w:p>
        </w:tc>
        <w:tc>
          <w:tcPr>
            <w:tcW w:w="1170" w:type="dxa"/>
            <w:vAlign w:val="center"/>
            <w:hideMark/>
          </w:tcPr>
          <w:p w14:paraId="7BE391CC" w14:textId="77777777" w:rsidR="00080FCD" w:rsidRPr="005C21D1" w:rsidRDefault="00080FCD" w:rsidP="00AA2133">
            <w:pPr>
              <w:pStyle w:val="RepStandard"/>
              <w:spacing w:before="120" w:after="120"/>
              <w:jc w:val="center"/>
              <w:rPr>
                <w:highlight w:val="yellow"/>
                <w:lang w:val="en-US"/>
              </w:rPr>
            </w:pPr>
            <w:r w:rsidRPr="005C21D1">
              <w:rPr>
                <w:highlight w:val="yellow"/>
                <w:lang w:val="en-US"/>
              </w:rPr>
              <w:t>a.s.4</w:t>
            </w:r>
          </w:p>
        </w:tc>
        <w:tc>
          <w:tcPr>
            <w:tcW w:w="1573" w:type="dxa"/>
            <w:vAlign w:val="center"/>
          </w:tcPr>
          <w:p w14:paraId="645D32A6" w14:textId="77777777" w:rsidR="00080FCD" w:rsidRPr="00D23E02" w:rsidRDefault="00080FCD" w:rsidP="00AA2133">
            <w:pPr>
              <w:pStyle w:val="RepStandard"/>
              <w:spacing w:before="120" w:after="120"/>
              <w:jc w:val="center"/>
              <w:rPr>
                <w:lang w:val="en-US"/>
              </w:rPr>
            </w:pPr>
          </w:p>
        </w:tc>
        <w:tc>
          <w:tcPr>
            <w:tcW w:w="905" w:type="dxa"/>
            <w:vAlign w:val="center"/>
          </w:tcPr>
          <w:p w14:paraId="666CE7BD" w14:textId="77777777" w:rsidR="00080FCD" w:rsidRPr="00D23E02" w:rsidRDefault="00080FCD" w:rsidP="00AA2133">
            <w:pPr>
              <w:pStyle w:val="RepStandard"/>
              <w:spacing w:before="120" w:after="120"/>
              <w:jc w:val="center"/>
              <w:rPr>
                <w:lang w:val="en-US"/>
              </w:rPr>
            </w:pPr>
          </w:p>
        </w:tc>
        <w:tc>
          <w:tcPr>
            <w:tcW w:w="1042" w:type="dxa"/>
            <w:vAlign w:val="center"/>
          </w:tcPr>
          <w:p w14:paraId="7B032AE7" w14:textId="77777777" w:rsidR="00080FCD" w:rsidRPr="00D23E02" w:rsidRDefault="00080FCD" w:rsidP="00AA2133">
            <w:pPr>
              <w:pStyle w:val="RepStandard"/>
              <w:spacing w:before="120" w:after="120"/>
              <w:jc w:val="center"/>
              <w:rPr>
                <w:lang w:val="en-US"/>
              </w:rPr>
            </w:pPr>
          </w:p>
        </w:tc>
        <w:tc>
          <w:tcPr>
            <w:tcW w:w="1191" w:type="dxa"/>
            <w:vMerge/>
            <w:vAlign w:val="center"/>
          </w:tcPr>
          <w:p w14:paraId="4391D9AD" w14:textId="77777777" w:rsidR="00080FCD" w:rsidRPr="00D23E02" w:rsidRDefault="00080FCD" w:rsidP="00AA2133">
            <w:pPr>
              <w:pStyle w:val="RepStandard"/>
              <w:spacing w:before="120" w:after="120"/>
              <w:jc w:val="center"/>
              <w:rPr>
                <w:lang w:val="en-US"/>
              </w:rPr>
            </w:pPr>
          </w:p>
        </w:tc>
        <w:tc>
          <w:tcPr>
            <w:tcW w:w="1134" w:type="dxa"/>
            <w:vMerge/>
            <w:vAlign w:val="center"/>
          </w:tcPr>
          <w:p w14:paraId="4D58A221" w14:textId="77777777" w:rsidR="00080FCD" w:rsidRPr="00D23E02" w:rsidRDefault="00080FCD" w:rsidP="00AA2133">
            <w:pPr>
              <w:pStyle w:val="RepStandard"/>
              <w:spacing w:before="120" w:after="120"/>
              <w:jc w:val="center"/>
              <w:rPr>
                <w:lang w:val="en-US"/>
              </w:rPr>
            </w:pPr>
          </w:p>
        </w:tc>
        <w:tc>
          <w:tcPr>
            <w:tcW w:w="845" w:type="dxa"/>
            <w:vMerge/>
            <w:vAlign w:val="center"/>
          </w:tcPr>
          <w:p w14:paraId="5C50B57C" w14:textId="77777777" w:rsidR="00080FCD" w:rsidRPr="00D23E02" w:rsidRDefault="00080FCD" w:rsidP="00AA2133">
            <w:pPr>
              <w:pStyle w:val="RepStandard"/>
              <w:spacing w:before="120" w:after="120"/>
              <w:jc w:val="center"/>
              <w:rPr>
                <w:lang w:val="en-US"/>
              </w:rPr>
            </w:pPr>
          </w:p>
        </w:tc>
      </w:tr>
      <w:tr w:rsidR="00080FCD" w:rsidRPr="00D23E02" w14:paraId="7457931E" w14:textId="77777777" w:rsidTr="00661020">
        <w:trPr>
          <w:trHeight w:val="315"/>
          <w:jc w:val="center"/>
        </w:trPr>
        <w:tc>
          <w:tcPr>
            <w:tcW w:w="9062" w:type="dxa"/>
            <w:gridSpan w:val="8"/>
            <w:vAlign w:val="center"/>
            <w:hideMark/>
          </w:tcPr>
          <w:p w14:paraId="403CB77A" w14:textId="77777777" w:rsidR="00080FCD" w:rsidRPr="00D23E02" w:rsidRDefault="00080FCD" w:rsidP="00AA2133">
            <w:pPr>
              <w:pStyle w:val="RepStandard"/>
              <w:spacing w:before="120" w:after="120"/>
              <w:jc w:val="center"/>
              <w:rPr>
                <w:b/>
                <w:bCs/>
                <w:lang w:val="en-US"/>
              </w:rPr>
            </w:pPr>
            <w:r w:rsidRPr="00D23E02">
              <w:rPr>
                <w:b/>
                <w:bCs/>
              </w:rPr>
              <w:t>Algae</w:t>
            </w:r>
          </w:p>
        </w:tc>
      </w:tr>
      <w:tr w:rsidR="00080FCD" w:rsidRPr="00D23E02" w14:paraId="7DAC61FD" w14:textId="77777777" w:rsidTr="00661020">
        <w:trPr>
          <w:trHeight w:val="300"/>
          <w:jc w:val="center"/>
        </w:trPr>
        <w:tc>
          <w:tcPr>
            <w:tcW w:w="1202" w:type="dxa"/>
            <w:noWrap/>
            <w:vAlign w:val="center"/>
            <w:hideMark/>
          </w:tcPr>
          <w:p w14:paraId="5EB3D0E5" w14:textId="77777777" w:rsidR="00080FCD" w:rsidRPr="005C21D1" w:rsidRDefault="00080FCD" w:rsidP="00AA2133">
            <w:pPr>
              <w:pStyle w:val="RepStandard"/>
              <w:spacing w:before="120" w:after="120"/>
              <w:jc w:val="left"/>
              <w:rPr>
                <w:i/>
                <w:iCs/>
                <w:highlight w:val="yellow"/>
                <w:lang w:val="en-US"/>
              </w:rPr>
            </w:pPr>
            <w:r w:rsidRPr="005C21D1">
              <w:rPr>
                <w:i/>
                <w:iCs/>
                <w:highlight w:val="yellow"/>
                <w:lang w:val="en-US"/>
              </w:rPr>
              <w:t>species sp.</w:t>
            </w:r>
          </w:p>
        </w:tc>
        <w:tc>
          <w:tcPr>
            <w:tcW w:w="1170" w:type="dxa"/>
            <w:vAlign w:val="center"/>
            <w:hideMark/>
          </w:tcPr>
          <w:p w14:paraId="3361C9B8" w14:textId="77777777" w:rsidR="00080FCD" w:rsidRPr="005C21D1" w:rsidRDefault="00080FCD" w:rsidP="00AA2133">
            <w:pPr>
              <w:pStyle w:val="RepStandard"/>
              <w:spacing w:before="120" w:after="120"/>
              <w:jc w:val="center"/>
              <w:rPr>
                <w:highlight w:val="yellow"/>
                <w:lang w:val="en-US"/>
              </w:rPr>
            </w:pPr>
            <w:r w:rsidRPr="005C21D1">
              <w:rPr>
                <w:highlight w:val="yellow"/>
                <w:lang w:val="en-US"/>
              </w:rPr>
              <w:t>a.s.1</w:t>
            </w:r>
          </w:p>
        </w:tc>
        <w:tc>
          <w:tcPr>
            <w:tcW w:w="1573" w:type="dxa"/>
            <w:vAlign w:val="center"/>
          </w:tcPr>
          <w:p w14:paraId="49845A3B" w14:textId="77777777" w:rsidR="00080FCD" w:rsidRPr="00D23E02" w:rsidRDefault="00080FCD" w:rsidP="00AA2133">
            <w:pPr>
              <w:pStyle w:val="RepStandard"/>
              <w:spacing w:before="120" w:after="120"/>
              <w:jc w:val="center"/>
              <w:rPr>
                <w:lang w:val="en-US"/>
              </w:rPr>
            </w:pPr>
          </w:p>
        </w:tc>
        <w:tc>
          <w:tcPr>
            <w:tcW w:w="905" w:type="dxa"/>
            <w:vAlign w:val="center"/>
          </w:tcPr>
          <w:p w14:paraId="758660B9" w14:textId="77777777" w:rsidR="00080FCD" w:rsidRPr="00D23E02" w:rsidRDefault="00080FCD" w:rsidP="00AA2133">
            <w:pPr>
              <w:pStyle w:val="RepStandard"/>
              <w:spacing w:before="120" w:after="120"/>
              <w:jc w:val="center"/>
              <w:rPr>
                <w:lang w:val="en-US"/>
              </w:rPr>
            </w:pPr>
          </w:p>
        </w:tc>
        <w:tc>
          <w:tcPr>
            <w:tcW w:w="1042" w:type="dxa"/>
            <w:vAlign w:val="center"/>
          </w:tcPr>
          <w:p w14:paraId="3F398A80" w14:textId="77777777" w:rsidR="00080FCD" w:rsidRPr="00D23E02" w:rsidRDefault="00080FCD" w:rsidP="00AA2133">
            <w:pPr>
              <w:pStyle w:val="RepStandard"/>
              <w:spacing w:before="120" w:after="120"/>
              <w:jc w:val="center"/>
              <w:rPr>
                <w:lang w:val="en-US"/>
              </w:rPr>
            </w:pPr>
          </w:p>
        </w:tc>
        <w:tc>
          <w:tcPr>
            <w:tcW w:w="1191" w:type="dxa"/>
            <w:vMerge w:val="restart"/>
            <w:vAlign w:val="center"/>
          </w:tcPr>
          <w:p w14:paraId="1D831C8E" w14:textId="77777777" w:rsidR="00080FCD" w:rsidRPr="00D23E02" w:rsidRDefault="00080FCD" w:rsidP="00AA2133">
            <w:pPr>
              <w:pStyle w:val="RepStandard"/>
              <w:spacing w:before="120" w:after="120"/>
              <w:jc w:val="center"/>
              <w:rPr>
                <w:lang w:val="en-US"/>
              </w:rPr>
            </w:pPr>
          </w:p>
        </w:tc>
        <w:tc>
          <w:tcPr>
            <w:tcW w:w="1134" w:type="dxa"/>
            <w:vMerge w:val="restart"/>
            <w:vAlign w:val="center"/>
          </w:tcPr>
          <w:p w14:paraId="49EB3513" w14:textId="77777777" w:rsidR="00080FCD" w:rsidRPr="00D23E02" w:rsidRDefault="00080FCD" w:rsidP="00AA2133">
            <w:pPr>
              <w:pStyle w:val="RepStandard"/>
              <w:spacing w:before="120" w:after="120"/>
              <w:jc w:val="center"/>
              <w:rPr>
                <w:lang w:val="en-US"/>
              </w:rPr>
            </w:pPr>
          </w:p>
        </w:tc>
        <w:tc>
          <w:tcPr>
            <w:tcW w:w="845" w:type="dxa"/>
            <w:vMerge w:val="restart"/>
            <w:vAlign w:val="center"/>
          </w:tcPr>
          <w:p w14:paraId="5F5FEA4C" w14:textId="77777777" w:rsidR="00080FCD" w:rsidRPr="00D23E02" w:rsidRDefault="00080FCD" w:rsidP="00AA2133">
            <w:pPr>
              <w:pStyle w:val="RepStandard"/>
              <w:spacing w:before="120" w:after="120"/>
              <w:jc w:val="center"/>
              <w:rPr>
                <w:lang w:val="en-US"/>
              </w:rPr>
            </w:pPr>
          </w:p>
        </w:tc>
      </w:tr>
      <w:tr w:rsidR="00080FCD" w:rsidRPr="00D23E02" w14:paraId="20965349" w14:textId="77777777" w:rsidTr="00661020">
        <w:trPr>
          <w:trHeight w:val="300"/>
          <w:jc w:val="center"/>
        </w:trPr>
        <w:tc>
          <w:tcPr>
            <w:tcW w:w="1202" w:type="dxa"/>
            <w:noWrap/>
            <w:vAlign w:val="center"/>
            <w:hideMark/>
          </w:tcPr>
          <w:p w14:paraId="593814D4" w14:textId="77777777" w:rsidR="00080FCD" w:rsidRPr="005C21D1" w:rsidRDefault="00080FCD" w:rsidP="00AA2133">
            <w:pPr>
              <w:pStyle w:val="RepStandard"/>
              <w:spacing w:before="120" w:after="120"/>
              <w:jc w:val="left"/>
              <w:rPr>
                <w:i/>
                <w:iCs/>
                <w:highlight w:val="yellow"/>
                <w:lang w:val="en-US"/>
              </w:rPr>
            </w:pPr>
            <w:r w:rsidRPr="005C21D1">
              <w:rPr>
                <w:i/>
                <w:iCs/>
                <w:highlight w:val="yellow"/>
                <w:lang w:val="en-US"/>
              </w:rPr>
              <w:t>species sp.</w:t>
            </w:r>
          </w:p>
        </w:tc>
        <w:tc>
          <w:tcPr>
            <w:tcW w:w="1170" w:type="dxa"/>
            <w:vAlign w:val="center"/>
            <w:hideMark/>
          </w:tcPr>
          <w:p w14:paraId="5783F4D6" w14:textId="77777777" w:rsidR="00080FCD" w:rsidRPr="005C21D1" w:rsidRDefault="00080FCD" w:rsidP="00AA2133">
            <w:pPr>
              <w:pStyle w:val="RepStandard"/>
              <w:spacing w:before="120" w:after="120"/>
              <w:jc w:val="center"/>
              <w:rPr>
                <w:highlight w:val="yellow"/>
                <w:lang w:val="en-US"/>
              </w:rPr>
            </w:pPr>
            <w:r w:rsidRPr="005C21D1">
              <w:rPr>
                <w:highlight w:val="yellow"/>
                <w:lang w:val="en-US"/>
              </w:rPr>
              <w:t>a.s.2</w:t>
            </w:r>
          </w:p>
        </w:tc>
        <w:tc>
          <w:tcPr>
            <w:tcW w:w="1573" w:type="dxa"/>
            <w:vAlign w:val="center"/>
          </w:tcPr>
          <w:p w14:paraId="7C549E30" w14:textId="77777777" w:rsidR="00080FCD" w:rsidRPr="00D23E02" w:rsidRDefault="00080FCD" w:rsidP="00AA2133">
            <w:pPr>
              <w:pStyle w:val="RepStandard"/>
              <w:spacing w:before="120" w:after="120"/>
              <w:jc w:val="center"/>
              <w:rPr>
                <w:lang w:val="en-US"/>
              </w:rPr>
            </w:pPr>
          </w:p>
        </w:tc>
        <w:tc>
          <w:tcPr>
            <w:tcW w:w="905" w:type="dxa"/>
            <w:vAlign w:val="center"/>
          </w:tcPr>
          <w:p w14:paraId="55459F95" w14:textId="77777777" w:rsidR="00080FCD" w:rsidRPr="00D23E02" w:rsidRDefault="00080FCD" w:rsidP="00AA2133">
            <w:pPr>
              <w:pStyle w:val="RepStandard"/>
              <w:spacing w:before="120" w:after="120"/>
              <w:jc w:val="center"/>
              <w:rPr>
                <w:lang w:val="en-US"/>
              </w:rPr>
            </w:pPr>
          </w:p>
        </w:tc>
        <w:tc>
          <w:tcPr>
            <w:tcW w:w="1042" w:type="dxa"/>
            <w:vAlign w:val="center"/>
          </w:tcPr>
          <w:p w14:paraId="6B07F29D" w14:textId="77777777" w:rsidR="00080FCD" w:rsidRPr="00D23E02" w:rsidRDefault="00080FCD" w:rsidP="00AA2133">
            <w:pPr>
              <w:pStyle w:val="RepStandard"/>
              <w:spacing w:before="120" w:after="120"/>
              <w:jc w:val="center"/>
              <w:rPr>
                <w:lang w:val="en-US"/>
              </w:rPr>
            </w:pPr>
          </w:p>
        </w:tc>
        <w:tc>
          <w:tcPr>
            <w:tcW w:w="1191" w:type="dxa"/>
            <w:vMerge/>
            <w:vAlign w:val="center"/>
          </w:tcPr>
          <w:p w14:paraId="2AF368EC" w14:textId="77777777" w:rsidR="00080FCD" w:rsidRPr="00D23E02" w:rsidRDefault="00080FCD" w:rsidP="00AA2133">
            <w:pPr>
              <w:pStyle w:val="RepStandard"/>
              <w:spacing w:before="120" w:after="120"/>
              <w:jc w:val="center"/>
              <w:rPr>
                <w:lang w:val="en-US"/>
              </w:rPr>
            </w:pPr>
          </w:p>
        </w:tc>
        <w:tc>
          <w:tcPr>
            <w:tcW w:w="1134" w:type="dxa"/>
            <w:vMerge/>
            <w:vAlign w:val="center"/>
          </w:tcPr>
          <w:p w14:paraId="570CF130" w14:textId="77777777" w:rsidR="00080FCD" w:rsidRPr="00D23E02" w:rsidRDefault="00080FCD" w:rsidP="00AA2133">
            <w:pPr>
              <w:pStyle w:val="RepStandard"/>
              <w:spacing w:before="120" w:after="120"/>
              <w:jc w:val="center"/>
              <w:rPr>
                <w:lang w:val="en-US"/>
              </w:rPr>
            </w:pPr>
          </w:p>
        </w:tc>
        <w:tc>
          <w:tcPr>
            <w:tcW w:w="845" w:type="dxa"/>
            <w:vMerge/>
            <w:vAlign w:val="center"/>
          </w:tcPr>
          <w:p w14:paraId="268D94E8" w14:textId="77777777" w:rsidR="00080FCD" w:rsidRPr="00D23E02" w:rsidRDefault="00080FCD" w:rsidP="00AA2133">
            <w:pPr>
              <w:pStyle w:val="RepStandard"/>
              <w:spacing w:before="120" w:after="120"/>
              <w:jc w:val="center"/>
              <w:rPr>
                <w:lang w:val="en-US"/>
              </w:rPr>
            </w:pPr>
          </w:p>
        </w:tc>
      </w:tr>
      <w:tr w:rsidR="00080FCD" w:rsidRPr="00D23E02" w14:paraId="6C300591" w14:textId="77777777" w:rsidTr="00661020">
        <w:trPr>
          <w:trHeight w:val="300"/>
          <w:jc w:val="center"/>
        </w:trPr>
        <w:tc>
          <w:tcPr>
            <w:tcW w:w="1202" w:type="dxa"/>
            <w:noWrap/>
            <w:vAlign w:val="center"/>
            <w:hideMark/>
          </w:tcPr>
          <w:p w14:paraId="4205EA8A" w14:textId="77777777" w:rsidR="00080FCD" w:rsidRPr="005C21D1" w:rsidRDefault="00080FCD" w:rsidP="00AA2133">
            <w:pPr>
              <w:pStyle w:val="RepStandard"/>
              <w:spacing w:before="120" w:after="120"/>
              <w:jc w:val="left"/>
              <w:rPr>
                <w:i/>
                <w:iCs/>
                <w:highlight w:val="yellow"/>
                <w:lang w:val="en-US"/>
              </w:rPr>
            </w:pPr>
            <w:r w:rsidRPr="005C21D1">
              <w:rPr>
                <w:i/>
                <w:iCs/>
                <w:highlight w:val="yellow"/>
                <w:lang w:val="en-US"/>
              </w:rPr>
              <w:t>species sp.</w:t>
            </w:r>
          </w:p>
        </w:tc>
        <w:tc>
          <w:tcPr>
            <w:tcW w:w="1170" w:type="dxa"/>
            <w:vAlign w:val="center"/>
            <w:hideMark/>
          </w:tcPr>
          <w:p w14:paraId="780393DC" w14:textId="77777777" w:rsidR="00080FCD" w:rsidRPr="005C21D1" w:rsidRDefault="00080FCD" w:rsidP="00AA2133">
            <w:pPr>
              <w:pStyle w:val="RepStandard"/>
              <w:spacing w:before="120" w:after="120"/>
              <w:jc w:val="center"/>
              <w:rPr>
                <w:highlight w:val="yellow"/>
                <w:lang w:val="en-US"/>
              </w:rPr>
            </w:pPr>
            <w:r w:rsidRPr="005C21D1">
              <w:rPr>
                <w:highlight w:val="yellow"/>
                <w:lang w:val="en-US"/>
              </w:rPr>
              <w:t>a.s.3</w:t>
            </w:r>
          </w:p>
        </w:tc>
        <w:tc>
          <w:tcPr>
            <w:tcW w:w="1573" w:type="dxa"/>
            <w:vAlign w:val="center"/>
          </w:tcPr>
          <w:p w14:paraId="3C4C560F" w14:textId="77777777" w:rsidR="00080FCD" w:rsidRPr="00D23E02" w:rsidRDefault="00080FCD" w:rsidP="00AA2133">
            <w:pPr>
              <w:pStyle w:val="RepStandard"/>
              <w:spacing w:before="120" w:after="120"/>
              <w:jc w:val="center"/>
              <w:rPr>
                <w:lang w:val="en-US"/>
              </w:rPr>
            </w:pPr>
          </w:p>
        </w:tc>
        <w:tc>
          <w:tcPr>
            <w:tcW w:w="905" w:type="dxa"/>
            <w:vAlign w:val="center"/>
          </w:tcPr>
          <w:p w14:paraId="578E5018" w14:textId="77777777" w:rsidR="00080FCD" w:rsidRPr="00D23E02" w:rsidRDefault="00080FCD" w:rsidP="00AA2133">
            <w:pPr>
              <w:pStyle w:val="RepStandard"/>
              <w:spacing w:before="120" w:after="120"/>
              <w:jc w:val="center"/>
              <w:rPr>
                <w:lang w:val="en-US"/>
              </w:rPr>
            </w:pPr>
          </w:p>
        </w:tc>
        <w:tc>
          <w:tcPr>
            <w:tcW w:w="1042" w:type="dxa"/>
            <w:vAlign w:val="center"/>
          </w:tcPr>
          <w:p w14:paraId="09A38FF9" w14:textId="77777777" w:rsidR="00080FCD" w:rsidRPr="00D23E02" w:rsidRDefault="00080FCD" w:rsidP="00AA2133">
            <w:pPr>
              <w:pStyle w:val="RepStandard"/>
              <w:spacing w:before="120" w:after="120"/>
              <w:jc w:val="center"/>
              <w:rPr>
                <w:lang w:val="en-US"/>
              </w:rPr>
            </w:pPr>
          </w:p>
        </w:tc>
        <w:tc>
          <w:tcPr>
            <w:tcW w:w="1191" w:type="dxa"/>
            <w:vMerge/>
            <w:vAlign w:val="center"/>
          </w:tcPr>
          <w:p w14:paraId="62D70278" w14:textId="77777777" w:rsidR="00080FCD" w:rsidRPr="00D23E02" w:rsidRDefault="00080FCD" w:rsidP="00AA2133">
            <w:pPr>
              <w:pStyle w:val="RepStandard"/>
              <w:spacing w:before="120" w:after="120"/>
              <w:jc w:val="center"/>
              <w:rPr>
                <w:lang w:val="en-US"/>
              </w:rPr>
            </w:pPr>
          </w:p>
        </w:tc>
        <w:tc>
          <w:tcPr>
            <w:tcW w:w="1134" w:type="dxa"/>
            <w:vMerge/>
            <w:vAlign w:val="center"/>
          </w:tcPr>
          <w:p w14:paraId="6D86AC94" w14:textId="77777777" w:rsidR="00080FCD" w:rsidRPr="00D23E02" w:rsidRDefault="00080FCD" w:rsidP="00AA2133">
            <w:pPr>
              <w:pStyle w:val="RepStandard"/>
              <w:spacing w:before="120" w:after="120"/>
              <w:jc w:val="center"/>
              <w:rPr>
                <w:lang w:val="en-US"/>
              </w:rPr>
            </w:pPr>
          </w:p>
        </w:tc>
        <w:tc>
          <w:tcPr>
            <w:tcW w:w="845" w:type="dxa"/>
            <w:vMerge/>
            <w:vAlign w:val="center"/>
          </w:tcPr>
          <w:p w14:paraId="629794B0" w14:textId="77777777" w:rsidR="00080FCD" w:rsidRPr="00D23E02" w:rsidRDefault="00080FCD" w:rsidP="00AA2133">
            <w:pPr>
              <w:pStyle w:val="RepStandard"/>
              <w:spacing w:before="120" w:after="120"/>
              <w:jc w:val="center"/>
              <w:rPr>
                <w:lang w:val="en-US"/>
              </w:rPr>
            </w:pPr>
          </w:p>
        </w:tc>
      </w:tr>
      <w:tr w:rsidR="00080FCD" w:rsidRPr="00D23E02" w14:paraId="3372D222" w14:textId="77777777" w:rsidTr="00661020">
        <w:trPr>
          <w:trHeight w:val="315"/>
          <w:jc w:val="center"/>
        </w:trPr>
        <w:tc>
          <w:tcPr>
            <w:tcW w:w="1202" w:type="dxa"/>
            <w:noWrap/>
            <w:vAlign w:val="center"/>
            <w:hideMark/>
          </w:tcPr>
          <w:p w14:paraId="09527F85" w14:textId="77777777" w:rsidR="00080FCD" w:rsidRPr="005C21D1" w:rsidRDefault="00080FCD" w:rsidP="00AA2133">
            <w:pPr>
              <w:pStyle w:val="RepStandard"/>
              <w:spacing w:before="120" w:after="120"/>
              <w:jc w:val="left"/>
              <w:rPr>
                <w:i/>
                <w:iCs/>
                <w:highlight w:val="yellow"/>
                <w:lang w:val="en-US"/>
              </w:rPr>
            </w:pPr>
            <w:r w:rsidRPr="005C21D1">
              <w:rPr>
                <w:i/>
                <w:iCs/>
                <w:highlight w:val="yellow"/>
                <w:lang w:val="en-US"/>
              </w:rPr>
              <w:t>species sp.</w:t>
            </w:r>
          </w:p>
        </w:tc>
        <w:tc>
          <w:tcPr>
            <w:tcW w:w="1170" w:type="dxa"/>
            <w:vAlign w:val="center"/>
            <w:hideMark/>
          </w:tcPr>
          <w:p w14:paraId="3CF2BDE6" w14:textId="77777777" w:rsidR="00080FCD" w:rsidRPr="005C21D1" w:rsidRDefault="00080FCD" w:rsidP="00AA2133">
            <w:pPr>
              <w:pStyle w:val="RepStandard"/>
              <w:spacing w:before="120" w:after="120"/>
              <w:jc w:val="center"/>
              <w:rPr>
                <w:highlight w:val="yellow"/>
                <w:lang w:val="en-US"/>
              </w:rPr>
            </w:pPr>
            <w:r w:rsidRPr="005C21D1">
              <w:rPr>
                <w:highlight w:val="yellow"/>
                <w:lang w:val="en-US"/>
              </w:rPr>
              <w:t>a.s.4</w:t>
            </w:r>
          </w:p>
        </w:tc>
        <w:tc>
          <w:tcPr>
            <w:tcW w:w="1573" w:type="dxa"/>
            <w:vAlign w:val="center"/>
          </w:tcPr>
          <w:p w14:paraId="476BFD51" w14:textId="77777777" w:rsidR="00080FCD" w:rsidRPr="00D23E02" w:rsidRDefault="00080FCD" w:rsidP="00AA2133">
            <w:pPr>
              <w:pStyle w:val="RepStandard"/>
              <w:spacing w:before="120" w:after="120"/>
              <w:jc w:val="center"/>
              <w:rPr>
                <w:lang w:val="en-US"/>
              </w:rPr>
            </w:pPr>
          </w:p>
        </w:tc>
        <w:tc>
          <w:tcPr>
            <w:tcW w:w="905" w:type="dxa"/>
            <w:vAlign w:val="center"/>
          </w:tcPr>
          <w:p w14:paraId="14E1E153" w14:textId="77777777" w:rsidR="00080FCD" w:rsidRPr="00D23E02" w:rsidRDefault="00080FCD" w:rsidP="00AA2133">
            <w:pPr>
              <w:pStyle w:val="RepStandard"/>
              <w:spacing w:before="120" w:after="120"/>
              <w:jc w:val="center"/>
              <w:rPr>
                <w:lang w:val="en-US"/>
              </w:rPr>
            </w:pPr>
          </w:p>
        </w:tc>
        <w:tc>
          <w:tcPr>
            <w:tcW w:w="1042" w:type="dxa"/>
            <w:vAlign w:val="center"/>
          </w:tcPr>
          <w:p w14:paraId="388DD8E9" w14:textId="77777777" w:rsidR="00080FCD" w:rsidRPr="00D23E02" w:rsidRDefault="00080FCD" w:rsidP="00AA2133">
            <w:pPr>
              <w:pStyle w:val="RepStandard"/>
              <w:spacing w:before="120" w:after="120"/>
              <w:jc w:val="center"/>
              <w:rPr>
                <w:lang w:val="en-US"/>
              </w:rPr>
            </w:pPr>
          </w:p>
        </w:tc>
        <w:tc>
          <w:tcPr>
            <w:tcW w:w="1191" w:type="dxa"/>
            <w:vMerge/>
            <w:vAlign w:val="center"/>
          </w:tcPr>
          <w:p w14:paraId="34C73F7B" w14:textId="77777777" w:rsidR="00080FCD" w:rsidRPr="00D23E02" w:rsidRDefault="00080FCD" w:rsidP="00AA2133">
            <w:pPr>
              <w:pStyle w:val="RepStandard"/>
              <w:spacing w:before="120" w:after="120"/>
              <w:jc w:val="center"/>
              <w:rPr>
                <w:lang w:val="en-US"/>
              </w:rPr>
            </w:pPr>
          </w:p>
        </w:tc>
        <w:tc>
          <w:tcPr>
            <w:tcW w:w="1134" w:type="dxa"/>
            <w:vMerge/>
            <w:vAlign w:val="center"/>
          </w:tcPr>
          <w:p w14:paraId="5ADB2D8B" w14:textId="77777777" w:rsidR="00080FCD" w:rsidRPr="00D23E02" w:rsidRDefault="00080FCD" w:rsidP="00AA2133">
            <w:pPr>
              <w:pStyle w:val="RepStandard"/>
              <w:spacing w:before="120" w:after="120"/>
              <w:jc w:val="center"/>
              <w:rPr>
                <w:lang w:val="en-US"/>
              </w:rPr>
            </w:pPr>
          </w:p>
        </w:tc>
        <w:tc>
          <w:tcPr>
            <w:tcW w:w="845" w:type="dxa"/>
            <w:vMerge/>
            <w:vAlign w:val="center"/>
          </w:tcPr>
          <w:p w14:paraId="256F21DD" w14:textId="77777777" w:rsidR="00080FCD" w:rsidRPr="00D23E02" w:rsidRDefault="00080FCD" w:rsidP="00AA2133">
            <w:pPr>
              <w:pStyle w:val="RepStandard"/>
              <w:spacing w:before="120" w:after="120"/>
              <w:jc w:val="center"/>
              <w:rPr>
                <w:lang w:val="en-US"/>
              </w:rPr>
            </w:pPr>
          </w:p>
        </w:tc>
      </w:tr>
      <w:tr w:rsidR="00080FCD" w:rsidRPr="00D23E02" w14:paraId="727C780E" w14:textId="77777777" w:rsidTr="00661020">
        <w:trPr>
          <w:trHeight w:val="315"/>
          <w:jc w:val="center"/>
        </w:trPr>
        <w:tc>
          <w:tcPr>
            <w:tcW w:w="9062" w:type="dxa"/>
            <w:gridSpan w:val="8"/>
            <w:vAlign w:val="center"/>
            <w:hideMark/>
          </w:tcPr>
          <w:p w14:paraId="56F43AB1" w14:textId="77777777" w:rsidR="00080FCD" w:rsidRPr="00D23E02" w:rsidRDefault="00080FCD" w:rsidP="00AA2133">
            <w:pPr>
              <w:pStyle w:val="RepStandard"/>
              <w:spacing w:before="120" w:after="120"/>
              <w:jc w:val="center"/>
              <w:rPr>
                <w:b/>
                <w:bCs/>
                <w:lang w:val="en-US"/>
              </w:rPr>
            </w:pPr>
            <w:r>
              <w:rPr>
                <w:b/>
                <w:bCs/>
              </w:rPr>
              <w:t>Macrophytes</w:t>
            </w:r>
          </w:p>
        </w:tc>
      </w:tr>
      <w:tr w:rsidR="00080FCD" w:rsidRPr="00D23E02" w14:paraId="5B1736CF" w14:textId="77777777" w:rsidTr="00661020">
        <w:trPr>
          <w:trHeight w:val="300"/>
          <w:jc w:val="center"/>
        </w:trPr>
        <w:tc>
          <w:tcPr>
            <w:tcW w:w="1202" w:type="dxa"/>
            <w:noWrap/>
            <w:vAlign w:val="center"/>
            <w:hideMark/>
          </w:tcPr>
          <w:p w14:paraId="2C16B689" w14:textId="77777777" w:rsidR="00080FCD" w:rsidRPr="005C21D1" w:rsidRDefault="00080FCD" w:rsidP="00AA2133">
            <w:pPr>
              <w:pStyle w:val="RepStandard"/>
              <w:spacing w:before="120" w:after="120"/>
              <w:jc w:val="left"/>
              <w:rPr>
                <w:i/>
                <w:iCs/>
                <w:highlight w:val="yellow"/>
                <w:lang w:val="en-US"/>
              </w:rPr>
            </w:pPr>
            <w:r w:rsidRPr="005C21D1">
              <w:rPr>
                <w:i/>
                <w:iCs/>
                <w:highlight w:val="yellow"/>
                <w:lang w:val="en-US"/>
              </w:rPr>
              <w:t>species sp.</w:t>
            </w:r>
          </w:p>
        </w:tc>
        <w:tc>
          <w:tcPr>
            <w:tcW w:w="1170" w:type="dxa"/>
            <w:vAlign w:val="center"/>
            <w:hideMark/>
          </w:tcPr>
          <w:p w14:paraId="7E656C93" w14:textId="77777777" w:rsidR="00080FCD" w:rsidRPr="005C21D1" w:rsidRDefault="00080FCD" w:rsidP="00AA2133">
            <w:pPr>
              <w:pStyle w:val="RepStandard"/>
              <w:spacing w:before="120" w:after="120"/>
              <w:jc w:val="center"/>
              <w:rPr>
                <w:highlight w:val="yellow"/>
                <w:lang w:val="en-US"/>
              </w:rPr>
            </w:pPr>
            <w:r w:rsidRPr="005C21D1">
              <w:rPr>
                <w:highlight w:val="yellow"/>
                <w:lang w:val="en-US"/>
              </w:rPr>
              <w:t>a.s.1</w:t>
            </w:r>
          </w:p>
        </w:tc>
        <w:tc>
          <w:tcPr>
            <w:tcW w:w="1573" w:type="dxa"/>
            <w:vAlign w:val="center"/>
          </w:tcPr>
          <w:p w14:paraId="14033632" w14:textId="77777777" w:rsidR="00080FCD" w:rsidRPr="00D23E02" w:rsidRDefault="00080FCD" w:rsidP="00AA2133">
            <w:pPr>
              <w:pStyle w:val="RepStandard"/>
              <w:spacing w:before="120" w:after="120"/>
              <w:jc w:val="center"/>
              <w:rPr>
                <w:lang w:val="en-US"/>
              </w:rPr>
            </w:pPr>
          </w:p>
        </w:tc>
        <w:tc>
          <w:tcPr>
            <w:tcW w:w="905" w:type="dxa"/>
            <w:vAlign w:val="center"/>
          </w:tcPr>
          <w:p w14:paraId="5A42DA21" w14:textId="77777777" w:rsidR="00080FCD" w:rsidRPr="00D23E02" w:rsidRDefault="00080FCD" w:rsidP="00AA2133">
            <w:pPr>
              <w:pStyle w:val="RepStandard"/>
              <w:spacing w:before="120" w:after="120"/>
              <w:jc w:val="center"/>
              <w:rPr>
                <w:lang w:val="en-US"/>
              </w:rPr>
            </w:pPr>
          </w:p>
        </w:tc>
        <w:tc>
          <w:tcPr>
            <w:tcW w:w="1042" w:type="dxa"/>
            <w:vAlign w:val="center"/>
          </w:tcPr>
          <w:p w14:paraId="51B70625" w14:textId="77777777" w:rsidR="00080FCD" w:rsidRPr="00D23E02" w:rsidRDefault="00080FCD" w:rsidP="00AA2133">
            <w:pPr>
              <w:pStyle w:val="RepStandard"/>
              <w:spacing w:before="120" w:after="120"/>
              <w:jc w:val="center"/>
              <w:rPr>
                <w:lang w:val="en-US"/>
              </w:rPr>
            </w:pPr>
          </w:p>
        </w:tc>
        <w:tc>
          <w:tcPr>
            <w:tcW w:w="1191" w:type="dxa"/>
            <w:vMerge w:val="restart"/>
            <w:vAlign w:val="center"/>
          </w:tcPr>
          <w:p w14:paraId="75739154" w14:textId="77777777" w:rsidR="00080FCD" w:rsidRPr="00D23E02" w:rsidRDefault="00080FCD" w:rsidP="00AA2133">
            <w:pPr>
              <w:pStyle w:val="RepStandard"/>
              <w:spacing w:before="120" w:after="120"/>
              <w:jc w:val="center"/>
              <w:rPr>
                <w:lang w:val="en-US"/>
              </w:rPr>
            </w:pPr>
          </w:p>
        </w:tc>
        <w:tc>
          <w:tcPr>
            <w:tcW w:w="1134" w:type="dxa"/>
            <w:vMerge w:val="restart"/>
            <w:vAlign w:val="center"/>
          </w:tcPr>
          <w:p w14:paraId="6D9B4630" w14:textId="77777777" w:rsidR="00080FCD" w:rsidRPr="00D23E02" w:rsidRDefault="00080FCD" w:rsidP="00AA2133">
            <w:pPr>
              <w:pStyle w:val="RepStandard"/>
              <w:spacing w:before="120" w:after="120"/>
              <w:jc w:val="center"/>
              <w:rPr>
                <w:lang w:val="en-US"/>
              </w:rPr>
            </w:pPr>
          </w:p>
        </w:tc>
        <w:tc>
          <w:tcPr>
            <w:tcW w:w="845" w:type="dxa"/>
            <w:vMerge w:val="restart"/>
            <w:vAlign w:val="center"/>
          </w:tcPr>
          <w:p w14:paraId="78E0973F" w14:textId="77777777" w:rsidR="00080FCD" w:rsidRPr="00D23E02" w:rsidRDefault="00080FCD" w:rsidP="00AA2133">
            <w:pPr>
              <w:pStyle w:val="RepStandard"/>
              <w:spacing w:before="120" w:after="120"/>
              <w:jc w:val="center"/>
              <w:rPr>
                <w:lang w:val="en-US"/>
              </w:rPr>
            </w:pPr>
          </w:p>
        </w:tc>
      </w:tr>
      <w:tr w:rsidR="00080FCD" w:rsidRPr="00D23E02" w14:paraId="0BD575AC" w14:textId="77777777" w:rsidTr="00661020">
        <w:trPr>
          <w:trHeight w:val="300"/>
          <w:jc w:val="center"/>
        </w:trPr>
        <w:tc>
          <w:tcPr>
            <w:tcW w:w="1202" w:type="dxa"/>
            <w:noWrap/>
            <w:vAlign w:val="center"/>
            <w:hideMark/>
          </w:tcPr>
          <w:p w14:paraId="249E84D5" w14:textId="77777777" w:rsidR="00080FCD" w:rsidRPr="005C21D1" w:rsidRDefault="00080FCD" w:rsidP="00AA2133">
            <w:pPr>
              <w:pStyle w:val="RepStandard"/>
              <w:spacing w:before="120" w:after="120"/>
              <w:jc w:val="left"/>
              <w:rPr>
                <w:i/>
                <w:iCs/>
                <w:highlight w:val="yellow"/>
                <w:lang w:val="en-US"/>
              </w:rPr>
            </w:pPr>
            <w:r w:rsidRPr="005C21D1">
              <w:rPr>
                <w:i/>
                <w:iCs/>
                <w:highlight w:val="yellow"/>
                <w:lang w:val="en-US"/>
              </w:rPr>
              <w:t>species sp.</w:t>
            </w:r>
          </w:p>
        </w:tc>
        <w:tc>
          <w:tcPr>
            <w:tcW w:w="1170" w:type="dxa"/>
            <w:vAlign w:val="center"/>
            <w:hideMark/>
          </w:tcPr>
          <w:p w14:paraId="705AACDA" w14:textId="77777777" w:rsidR="00080FCD" w:rsidRPr="005C21D1" w:rsidRDefault="00080FCD" w:rsidP="00AA2133">
            <w:pPr>
              <w:pStyle w:val="RepStandard"/>
              <w:spacing w:before="120" w:after="120"/>
              <w:jc w:val="center"/>
              <w:rPr>
                <w:highlight w:val="yellow"/>
                <w:lang w:val="en-US"/>
              </w:rPr>
            </w:pPr>
            <w:r w:rsidRPr="005C21D1">
              <w:rPr>
                <w:highlight w:val="yellow"/>
                <w:lang w:val="en-US"/>
              </w:rPr>
              <w:t>a.s.2</w:t>
            </w:r>
          </w:p>
        </w:tc>
        <w:tc>
          <w:tcPr>
            <w:tcW w:w="1573" w:type="dxa"/>
            <w:vAlign w:val="center"/>
          </w:tcPr>
          <w:p w14:paraId="61A6205A" w14:textId="77777777" w:rsidR="00080FCD" w:rsidRPr="00D23E02" w:rsidRDefault="00080FCD" w:rsidP="00AA2133">
            <w:pPr>
              <w:pStyle w:val="RepStandard"/>
              <w:spacing w:before="120" w:after="120"/>
              <w:jc w:val="center"/>
              <w:rPr>
                <w:lang w:val="en-US"/>
              </w:rPr>
            </w:pPr>
          </w:p>
        </w:tc>
        <w:tc>
          <w:tcPr>
            <w:tcW w:w="905" w:type="dxa"/>
            <w:vAlign w:val="center"/>
          </w:tcPr>
          <w:p w14:paraId="3D3411F5" w14:textId="77777777" w:rsidR="00080FCD" w:rsidRPr="00D23E02" w:rsidRDefault="00080FCD" w:rsidP="00AA2133">
            <w:pPr>
              <w:pStyle w:val="RepStandard"/>
              <w:spacing w:before="120" w:after="120"/>
              <w:jc w:val="center"/>
              <w:rPr>
                <w:lang w:val="en-US"/>
              </w:rPr>
            </w:pPr>
          </w:p>
        </w:tc>
        <w:tc>
          <w:tcPr>
            <w:tcW w:w="1042" w:type="dxa"/>
            <w:vAlign w:val="center"/>
          </w:tcPr>
          <w:p w14:paraId="11A1C81C" w14:textId="77777777" w:rsidR="00080FCD" w:rsidRPr="00D23E02" w:rsidRDefault="00080FCD" w:rsidP="00AA2133">
            <w:pPr>
              <w:pStyle w:val="RepStandard"/>
              <w:spacing w:before="120" w:after="120"/>
              <w:jc w:val="center"/>
              <w:rPr>
                <w:lang w:val="en-US"/>
              </w:rPr>
            </w:pPr>
          </w:p>
        </w:tc>
        <w:tc>
          <w:tcPr>
            <w:tcW w:w="1191" w:type="dxa"/>
            <w:vMerge/>
            <w:vAlign w:val="center"/>
          </w:tcPr>
          <w:p w14:paraId="0686A76D" w14:textId="77777777" w:rsidR="00080FCD" w:rsidRPr="00D23E02" w:rsidRDefault="00080FCD" w:rsidP="00AA2133">
            <w:pPr>
              <w:pStyle w:val="RepStandard"/>
              <w:spacing w:before="120" w:after="120"/>
              <w:jc w:val="center"/>
              <w:rPr>
                <w:lang w:val="en-US"/>
              </w:rPr>
            </w:pPr>
          </w:p>
        </w:tc>
        <w:tc>
          <w:tcPr>
            <w:tcW w:w="1134" w:type="dxa"/>
            <w:vMerge/>
            <w:vAlign w:val="center"/>
          </w:tcPr>
          <w:p w14:paraId="76D1BE7C" w14:textId="77777777" w:rsidR="00080FCD" w:rsidRPr="00D23E02" w:rsidRDefault="00080FCD" w:rsidP="00AA2133">
            <w:pPr>
              <w:pStyle w:val="RepStandard"/>
              <w:spacing w:before="120" w:after="120"/>
              <w:jc w:val="center"/>
              <w:rPr>
                <w:lang w:val="en-US"/>
              </w:rPr>
            </w:pPr>
          </w:p>
        </w:tc>
        <w:tc>
          <w:tcPr>
            <w:tcW w:w="845" w:type="dxa"/>
            <w:vMerge/>
            <w:vAlign w:val="center"/>
          </w:tcPr>
          <w:p w14:paraId="67859C99" w14:textId="77777777" w:rsidR="00080FCD" w:rsidRPr="00D23E02" w:rsidRDefault="00080FCD" w:rsidP="00AA2133">
            <w:pPr>
              <w:pStyle w:val="RepStandard"/>
              <w:spacing w:before="120" w:after="120"/>
              <w:jc w:val="center"/>
              <w:rPr>
                <w:lang w:val="en-US"/>
              </w:rPr>
            </w:pPr>
          </w:p>
        </w:tc>
      </w:tr>
      <w:tr w:rsidR="00080FCD" w:rsidRPr="00D23E02" w14:paraId="668C30B6" w14:textId="77777777" w:rsidTr="00661020">
        <w:trPr>
          <w:trHeight w:val="300"/>
          <w:jc w:val="center"/>
        </w:trPr>
        <w:tc>
          <w:tcPr>
            <w:tcW w:w="1202" w:type="dxa"/>
            <w:noWrap/>
            <w:vAlign w:val="center"/>
            <w:hideMark/>
          </w:tcPr>
          <w:p w14:paraId="17100407" w14:textId="77777777" w:rsidR="00080FCD" w:rsidRPr="005C21D1" w:rsidRDefault="00080FCD" w:rsidP="00AA2133">
            <w:pPr>
              <w:pStyle w:val="RepStandard"/>
              <w:spacing w:before="120" w:after="120"/>
              <w:jc w:val="left"/>
              <w:rPr>
                <w:i/>
                <w:iCs/>
                <w:highlight w:val="yellow"/>
                <w:lang w:val="en-US"/>
              </w:rPr>
            </w:pPr>
            <w:r w:rsidRPr="005C21D1">
              <w:rPr>
                <w:i/>
                <w:iCs/>
                <w:highlight w:val="yellow"/>
                <w:lang w:val="en-US"/>
              </w:rPr>
              <w:t>species sp.</w:t>
            </w:r>
          </w:p>
        </w:tc>
        <w:tc>
          <w:tcPr>
            <w:tcW w:w="1170" w:type="dxa"/>
            <w:vAlign w:val="center"/>
            <w:hideMark/>
          </w:tcPr>
          <w:p w14:paraId="5C775164" w14:textId="77777777" w:rsidR="00080FCD" w:rsidRPr="005C21D1" w:rsidRDefault="00080FCD" w:rsidP="00AA2133">
            <w:pPr>
              <w:pStyle w:val="RepStandard"/>
              <w:spacing w:before="120" w:after="120"/>
              <w:jc w:val="center"/>
              <w:rPr>
                <w:highlight w:val="yellow"/>
                <w:lang w:val="en-US"/>
              </w:rPr>
            </w:pPr>
            <w:r w:rsidRPr="005C21D1">
              <w:rPr>
                <w:highlight w:val="yellow"/>
                <w:lang w:val="en-US"/>
              </w:rPr>
              <w:t>a.s.3</w:t>
            </w:r>
          </w:p>
        </w:tc>
        <w:tc>
          <w:tcPr>
            <w:tcW w:w="1573" w:type="dxa"/>
            <w:vAlign w:val="center"/>
          </w:tcPr>
          <w:p w14:paraId="687A42CA" w14:textId="77777777" w:rsidR="00080FCD" w:rsidRPr="00D23E02" w:rsidRDefault="00080FCD" w:rsidP="00AA2133">
            <w:pPr>
              <w:pStyle w:val="RepStandard"/>
              <w:spacing w:before="120" w:after="120"/>
              <w:jc w:val="center"/>
              <w:rPr>
                <w:lang w:val="en-US"/>
              </w:rPr>
            </w:pPr>
          </w:p>
        </w:tc>
        <w:tc>
          <w:tcPr>
            <w:tcW w:w="905" w:type="dxa"/>
            <w:vAlign w:val="center"/>
          </w:tcPr>
          <w:p w14:paraId="35613AF1" w14:textId="77777777" w:rsidR="00080FCD" w:rsidRPr="00D23E02" w:rsidRDefault="00080FCD" w:rsidP="00AA2133">
            <w:pPr>
              <w:pStyle w:val="RepStandard"/>
              <w:spacing w:before="120" w:after="120"/>
              <w:jc w:val="center"/>
              <w:rPr>
                <w:lang w:val="en-US"/>
              </w:rPr>
            </w:pPr>
          </w:p>
        </w:tc>
        <w:tc>
          <w:tcPr>
            <w:tcW w:w="1042" w:type="dxa"/>
            <w:vAlign w:val="center"/>
          </w:tcPr>
          <w:p w14:paraId="6E1EF72E" w14:textId="77777777" w:rsidR="00080FCD" w:rsidRPr="00D23E02" w:rsidRDefault="00080FCD" w:rsidP="00AA2133">
            <w:pPr>
              <w:pStyle w:val="RepStandard"/>
              <w:spacing w:before="120" w:after="120"/>
              <w:jc w:val="center"/>
              <w:rPr>
                <w:lang w:val="en-US"/>
              </w:rPr>
            </w:pPr>
          </w:p>
        </w:tc>
        <w:tc>
          <w:tcPr>
            <w:tcW w:w="1191" w:type="dxa"/>
            <w:vMerge/>
            <w:vAlign w:val="center"/>
          </w:tcPr>
          <w:p w14:paraId="34FD926D" w14:textId="77777777" w:rsidR="00080FCD" w:rsidRPr="00D23E02" w:rsidRDefault="00080FCD" w:rsidP="00AA2133">
            <w:pPr>
              <w:pStyle w:val="RepStandard"/>
              <w:spacing w:before="120" w:after="120"/>
              <w:jc w:val="center"/>
              <w:rPr>
                <w:lang w:val="en-US"/>
              </w:rPr>
            </w:pPr>
          </w:p>
        </w:tc>
        <w:tc>
          <w:tcPr>
            <w:tcW w:w="1134" w:type="dxa"/>
            <w:vMerge/>
            <w:vAlign w:val="center"/>
          </w:tcPr>
          <w:p w14:paraId="7EE73D08" w14:textId="77777777" w:rsidR="00080FCD" w:rsidRPr="00D23E02" w:rsidRDefault="00080FCD" w:rsidP="00AA2133">
            <w:pPr>
              <w:pStyle w:val="RepStandard"/>
              <w:spacing w:before="120" w:after="120"/>
              <w:jc w:val="center"/>
              <w:rPr>
                <w:lang w:val="en-US"/>
              </w:rPr>
            </w:pPr>
          </w:p>
        </w:tc>
        <w:tc>
          <w:tcPr>
            <w:tcW w:w="845" w:type="dxa"/>
            <w:vMerge/>
            <w:vAlign w:val="center"/>
          </w:tcPr>
          <w:p w14:paraId="081D4928" w14:textId="77777777" w:rsidR="00080FCD" w:rsidRPr="00D23E02" w:rsidRDefault="00080FCD" w:rsidP="00AA2133">
            <w:pPr>
              <w:pStyle w:val="RepStandard"/>
              <w:spacing w:before="120" w:after="120"/>
              <w:jc w:val="center"/>
              <w:rPr>
                <w:lang w:val="en-US"/>
              </w:rPr>
            </w:pPr>
          </w:p>
        </w:tc>
      </w:tr>
      <w:tr w:rsidR="00080FCD" w:rsidRPr="00D23E02" w14:paraId="4DB548B8" w14:textId="77777777" w:rsidTr="00661020">
        <w:trPr>
          <w:trHeight w:val="315"/>
          <w:jc w:val="center"/>
        </w:trPr>
        <w:tc>
          <w:tcPr>
            <w:tcW w:w="1202" w:type="dxa"/>
            <w:noWrap/>
            <w:vAlign w:val="center"/>
            <w:hideMark/>
          </w:tcPr>
          <w:p w14:paraId="2B35A443" w14:textId="77777777" w:rsidR="00080FCD" w:rsidRPr="005C21D1" w:rsidRDefault="00080FCD" w:rsidP="00AA2133">
            <w:pPr>
              <w:pStyle w:val="RepStandard"/>
              <w:spacing w:before="120" w:after="120"/>
              <w:jc w:val="left"/>
              <w:rPr>
                <w:i/>
                <w:iCs/>
                <w:highlight w:val="yellow"/>
                <w:lang w:val="en-US"/>
              </w:rPr>
            </w:pPr>
            <w:r w:rsidRPr="005C21D1">
              <w:rPr>
                <w:i/>
                <w:iCs/>
                <w:highlight w:val="yellow"/>
                <w:lang w:val="en-US"/>
              </w:rPr>
              <w:t>species sp.</w:t>
            </w:r>
          </w:p>
        </w:tc>
        <w:tc>
          <w:tcPr>
            <w:tcW w:w="1170" w:type="dxa"/>
            <w:vAlign w:val="center"/>
            <w:hideMark/>
          </w:tcPr>
          <w:p w14:paraId="43EB78A1" w14:textId="77777777" w:rsidR="00080FCD" w:rsidRPr="005C21D1" w:rsidRDefault="00080FCD" w:rsidP="00AA2133">
            <w:pPr>
              <w:pStyle w:val="RepStandard"/>
              <w:spacing w:before="120" w:after="120"/>
              <w:jc w:val="center"/>
              <w:rPr>
                <w:highlight w:val="yellow"/>
                <w:lang w:val="en-US"/>
              </w:rPr>
            </w:pPr>
            <w:r w:rsidRPr="005C21D1">
              <w:rPr>
                <w:highlight w:val="yellow"/>
                <w:lang w:val="en-US"/>
              </w:rPr>
              <w:t>a.s.4</w:t>
            </w:r>
          </w:p>
        </w:tc>
        <w:tc>
          <w:tcPr>
            <w:tcW w:w="1573" w:type="dxa"/>
            <w:vAlign w:val="center"/>
          </w:tcPr>
          <w:p w14:paraId="3B7F8D9C" w14:textId="77777777" w:rsidR="00080FCD" w:rsidRPr="00D23E02" w:rsidRDefault="00080FCD" w:rsidP="00AA2133">
            <w:pPr>
              <w:pStyle w:val="RepStandard"/>
              <w:spacing w:before="120" w:after="120"/>
              <w:jc w:val="center"/>
              <w:rPr>
                <w:lang w:val="en-US"/>
              </w:rPr>
            </w:pPr>
          </w:p>
        </w:tc>
        <w:tc>
          <w:tcPr>
            <w:tcW w:w="905" w:type="dxa"/>
            <w:vAlign w:val="center"/>
          </w:tcPr>
          <w:p w14:paraId="27685A56" w14:textId="77777777" w:rsidR="00080FCD" w:rsidRPr="00D23E02" w:rsidRDefault="00080FCD" w:rsidP="00AA2133">
            <w:pPr>
              <w:pStyle w:val="RepStandard"/>
              <w:spacing w:before="120" w:after="120"/>
              <w:jc w:val="center"/>
              <w:rPr>
                <w:lang w:val="en-US"/>
              </w:rPr>
            </w:pPr>
          </w:p>
        </w:tc>
        <w:tc>
          <w:tcPr>
            <w:tcW w:w="1042" w:type="dxa"/>
            <w:vAlign w:val="center"/>
          </w:tcPr>
          <w:p w14:paraId="695E65B7" w14:textId="77777777" w:rsidR="00080FCD" w:rsidRPr="00D23E02" w:rsidRDefault="00080FCD" w:rsidP="00AA2133">
            <w:pPr>
              <w:pStyle w:val="RepStandard"/>
              <w:spacing w:before="120" w:after="120"/>
              <w:jc w:val="center"/>
              <w:rPr>
                <w:lang w:val="en-US"/>
              </w:rPr>
            </w:pPr>
          </w:p>
        </w:tc>
        <w:tc>
          <w:tcPr>
            <w:tcW w:w="1191" w:type="dxa"/>
            <w:vMerge/>
            <w:vAlign w:val="center"/>
          </w:tcPr>
          <w:p w14:paraId="6570FA77" w14:textId="77777777" w:rsidR="00080FCD" w:rsidRPr="00D23E02" w:rsidRDefault="00080FCD" w:rsidP="00AA2133">
            <w:pPr>
              <w:pStyle w:val="RepStandard"/>
              <w:spacing w:before="120" w:after="120"/>
              <w:jc w:val="center"/>
              <w:rPr>
                <w:lang w:val="en-US"/>
              </w:rPr>
            </w:pPr>
          </w:p>
        </w:tc>
        <w:tc>
          <w:tcPr>
            <w:tcW w:w="1134" w:type="dxa"/>
            <w:vMerge/>
            <w:vAlign w:val="center"/>
          </w:tcPr>
          <w:p w14:paraId="3A459108" w14:textId="77777777" w:rsidR="00080FCD" w:rsidRPr="00D23E02" w:rsidRDefault="00080FCD" w:rsidP="00AA2133">
            <w:pPr>
              <w:pStyle w:val="RepStandard"/>
              <w:spacing w:before="120" w:after="120"/>
              <w:jc w:val="center"/>
              <w:rPr>
                <w:lang w:val="en-US"/>
              </w:rPr>
            </w:pPr>
          </w:p>
        </w:tc>
        <w:tc>
          <w:tcPr>
            <w:tcW w:w="845" w:type="dxa"/>
            <w:vMerge/>
            <w:vAlign w:val="center"/>
          </w:tcPr>
          <w:p w14:paraId="19D9A5AB" w14:textId="77777777" w:rsidR="00080FCD" w:rsidRPr="00D23E02" w:rsidRDefault="00080FCD" w:rsidP="00AA2133">
            <w:pPr>
              <w:pStyle w:val="RepStandard"/>
              <w:spacing w:before="120" w:after="120"/>
              <w:jc w:val="center"/>
              <w:rPr>
                <w:lang w:val="en-US"/>
              </w:rPr>
            </w:pPr>
          </w:p>
        </w:tc>
      </w:tr>
    </w:tbl>
    <w:p w14:paraId="1472950A" w14:textId="24B384F0" w:rsidR="00462FB8" w:rsidRDefault="00462FB8" w:rsidP="00462FB8">
      <w:pPr>
        <w:widowControl w:val="0"/>
        <w:rPr>
          <w:sz w:val="18"/>
          <w:lang w:val="en-GB"/>
        </w:rPr>
      </w:pPr>
      <w:r w:rsidRPr="00F11568">
        <w:rPr>
          <w:sz w:val="18"/>
          <w:vertAlign w:val="superscript"/>
          <w:lang w:val="en-GB"/>
        </w:rPr>
        <w:t>1</w:t>
      </w:r>
      <w:r w:rsidRPr="00462FB8">
        <w:rPr>
          <w:sz w:val="18"/>
          <w:lang w:val="en-GB"/>
        </w:rPr>
        <w:t xml:space="preserve"> For a possible inclusion of chronic toxicity please refer to the FAQ document distributed alongside the aquatic mixture toxicity calculation tool “</w:t>
      </w:r>
      <w:proofErr w:type="spellStart"/>
      <w:r w:rsidRPr="00462FB8">
        <w:rPr>
          <w:sz w:val="18"/>
          <w:lang w:val="en-GB"/>
        </w:rPr>
        <w:t>AGD_AquaMix</w:t>
      </w:r>
      <w:proofErr w:type="spellEnd"/>
      <w:r w:rsidRPr="00462FB8">
        <w:rPr>
          <w:sz w:val="18"/>
          <w:lang w:val="en-GB"/>
        </w:rPr>
        <w:t>”.</w:t>
      </w:r>
    </w:p>
    <w:p w14:paraId="2A823491" w14:textId="6970360A" w:rsidR="00DA4EF9" w:rsidRDefault="00B45C1A" w:rsidP="00A76CE7">
      <w:pPr>
        <w:widowControl w:val="0"/>
        <w:spacing w:before="120" w:after="120"/>
        <w:jc w:val="both"/>
        <w:rPr>
          <w:sz w:val="18"/>
          <w:szCs w:val="18"/>
        </w:rPr>
      </w:pPr>
      <w:proofErr w:type="gramStart"/>
      <w:r w:rsidRPr="00F11568">
        <w:rPr>
          <w:sz w:val="18"/>
          <w:szCs w:val="18"/>
          <w:vertAlign w:val="superscript"/>
        </w:rPr>
        <w:t>2</w:t>
      </w:r>
      <w:r>
        <w:rPr>
          <w:sz w:val="18"/>
          <w:szCs w:val="18"/>
        </w:rPr>
        <w:t xml:space="preserve">  </w:t>
      </w:r>
      <w:r w:rsidR="00A76CE7" w:rsidRPr="00DA4EF9">
        <w:rPr>
          <w:sz w:val="18"/>
          <w:szCs w:val="18"/>
        </w:rPr>
        <w:t>MDR</w:t>
      </w:r>
      <w:proofErr w:type="gramEnd"/>
      <w:r w:rsidR="00A76CE7" w:rsidRPr="00DA4EF9">
        <w:rPr>
          <w:sz w:val="18"/>
          <w:szCs w:val="18"/>
        </w:rPr>
        <w:t xml:space="preserve"> = 0.2 – 5 </w:t>
      </w:r>
      <w:r w:rsidRPr="00491B58">
        <w:rPr>
          <w:sz w:val="18"/>
          <w:szCs w:val="18"/>
        </w:rPr>
        <w:sym w:font="Wingdings" w:char="F0E0"/>
      </w:r>
      <w:r w:rsidR="00A76CE7" w:rsidRPr="00DA4EF9">
        <w:rPr>
          <w:sz w:val="18"/>
          <w:szCs w:val="18"/>
        </w:rPr>
        <w:t xml:space="preserve"> Go to Step 3 (concentration addition (CA) approximately holds for the calculated mixture)</w:t>
      </w:r>
      <w:r w:rsidR="003820C7">
        <w:rPr>
          <w:sz w:val="18"/>
          <w:szCs w:val="18"/>
        </w:rPr>
        <w:t xml:space="preserve">; </w:t>
      </w:r>
    </w:p>
    <w:p w14:paraId="6507F478" w14:textId="4166F155" w:rsidR="00DA4EF9" w:rsidRDefault="00A76CE7" w:rsidP="00F11568">
      <w:pPr>
        <w:widowControl w:val="0"/>
        <w:spacing w:before="120" w:after="120"/>
        <w:ind w:firstLine="142"/>
        <w:jc w:val="both"/>
        <w:rPr>
          <w:sz w:val="18"/>
          <w:szCs w:val="18"/>
        </w:rPr>
      </w:pPr>
      <w:r w:rsidRPr="00491B58">
        <w:rPr>
          <w:sz w:val="18"/>
          <w:szCs w:val="18"/>
        </w:rPr>
        <w:t xml:space="preserve">MDR &gt; 5 </w:t>
      </w:r>
      <w:r w:rsidR="00B45C1A" w:rsidRPr="00491B58">
        <w:rPr>
          <w:sz w:val="18"/>
          <w:szCs w:val="18"/>
        </w:rPr>
        <w:sym w:font="Wingdings" w:char="F0E0"/>
      </w:r>
      <w:r w:rsidRPr="00491B58">
        <w:rPr>
          <w:sz w:val="18"/>
          <w:szCs w:val="18"/>
        </w:rPr>
        <w:t xml:space="preserve"> Go to Step 10 (the calculated mixture is more toxic than CA, i.e. synergistic)</w:t>
      </w:r>
      <w:r w:rsidR="003820C7">
        <w:rPr>
          <w:sz w:val="18"/>
          <w:szCs w:val="18"/>
        </w:rPr>
        <w:t xml:space="preserve">; </w:t>
      </w:r>
    </w:p>
    <w:p w14:paraId="5EF6D2C5" w14:textId="16F2146F" w:rsidR="00A76CE7" w:rsidRDefault="00A76CE7" w:rsidP="00F11568">
      <w:pPr>
        <w:widowControl w:val="0"/>
        <w:spacing w:before="120" w:after="120"/>
        <w:ind w:firstLine="142"/>
        <w:jc w:val="both"/>
        <w:rPr>
          <w:sz w:val="18"/>
          <w:szCs w:val="18"/>
        </w:rPr>
      </w:pPr>
      <w:r w:rsidRPr="00491B58">
        <w:rPr>
          <w:sz w:val="18"/>
          <w:szCs w:val="18"/>
        </w:rPr>
        <w:t xml:space="preserve">MDR &lt; 0.2 </w:t>
      </w:r>
      <w:r w:rsidRPr="00491B58">
        <w:rPr>
          <w:sz w:val="18"/>
          <w:szCs w:val="18"/>
        </w:rPr>
        <w:sym w:font="Wingdings" w:char="F0E0"/>
      </w:r>
      <w:r w:rsidRPr="00491B58">
        <w:rPr>
          <w:sz w:val="18"/>
          <w:szCs w:val="18"/>
        </w:rPr>
        <w:t xml:space="preserve"> Go to Step 9 (the calculated mixture is less toxic than CA, i.e. antagonistic)</w:t>
      </w:r>
    </w:p>
    <w:p w14:paraId="6006A0B1" w14:textId="77777777" w:rsidR="00F11568" w:rsidRDefault="00F11568" w:rsidP="00F11568">
      <w:pPr>
        <w:widowControl w:val="0"/>
        <w:spacing w:before="120" w:after="120"/>
        <w:ind w:firstLine="142"/>
        <w:jc w:val="both"/>
        <w:rPr>
          <w:sz w:val="18"/>
          <w:szCs w:val="18"/>
        </w:rPr>
      </w:pPr>
    </w:p>
    <w:p w14:paraId="5B125F87" w14:textId="0E746495" w:rsidR="00080FCD" w:rsidRDefault="00080FCD" w:rsidP="00C26C28">
      <w:pPr>
        <w:pStyle w:val="RepStandard"/>
        <w:spacing w:before="120" w:after="120"/>
        <w:rPr>
          <w:b/>
          <w:lang w:val="en-US"/>
        </w:rPr>
      </w:pPr>
      <w:r>
        <w:rPr>
          <w:b/>
          <w:lang w:val="en-US"/>
        </w:rPr>
        <w:t>S</w:t>
      </w:r>
      <w:r w:rsidRPr="00985D98">
        <w:rPr>
          <w:b/>
          <w:lang w:val="en-US"/>
        </w:rPr>
        <w:t xml:space="preserve">tep </w:t>
      </w:r>
      <w:r>
        <w:rPr>
          <w:b/>
          <w:lang w:val="en-US"/>
        </w:rPr>
        <w:t>7, Step 9 and Step 10</w:t>
      </w:r>
      <w:r w:rsidRPr="00D94450">
        <w:rPr>
          <w:b/>
          <w:lang w:val="en-US"/>
        </w:rPr>
        <w:t>:</w:t>
      </w:r>
      <w:r>
        <w:rPr>
          <w:b/>
          <w:lang w:val="en-US"/>
        </w:rPr>
        <w:t xml:space="preserve"> </w:t>
      </w:r>
      <w:r w:rsidRPr="00893D82">
        <w:rPr>
          <w:lang w:val="en-US"/>
        </w:rPr>
        <w:t xml:space="preserve">Assessment of possible </w:t>
      </w:r>
      <w:r w:rsidRPr="00893D82">
        <w:rPr>
          <w:highlight w:val="yellow"/>
          <w:lang w:val="en-US"/>
        </w:rPr>
        <w:t>antagonism</w:t>
      </w:r>
      <w:r>
        <w:rPr>
          <w:highlight w:val="yellow"/>
          <w:lang w:val="en-US"/>
        </w:rPr>
        <w:t>/</w:t>
      </w:r>
      <w:r w:rsidRPr="00893D82">
        <w:rPr>
          <w:highlight w:val="yellow"/>
          <w:lang w:val="en-US"/>
        </w:rPr>
        <w:t>synergism</w:t>
      </w:r>
    </w:p>
    <w:p w14:paraId="2B76EC91" w14:textId="436618D6" w:rsidR="001E0425" w:rsidRPr="00F11568" w:rsidRDefault="001E0425" w:rsidP="00532E79">
      <w:pPr>
        <w:pBdr>
          <w:top w:val="single" w:sz="4" w:space="0" w:color="auto" w:shadow="1"/>
          <w:left w:val="single" w:sz="4" w:space="4" w:color="auto" w:shadow="1"/>
          <w:bottom w:val="single" w:sz="4" w:space="1" w:color="auto" w:shadow="1"/>
          <w:right w:val="single" w:sz="4" w:space="4" w:color="auto" w:shadow="1"/>
        </w:pBdr>
        <w:shd w:val="clear" w:color="auto" w:fill="CCFFFF"/>
        <w:jc w:val="both"/>
        <w:rPr>
          <w:b/>
          <w:shd w:val="clear" w:color="auto" w:fill="CCFFFF"/>
        </w:rPr>
      </w:pPr>
      <w:r w:rsidRPr="001E0425">
        <w:t xml:space="preserve">The </w:t>
      </w:r>
      <w:r w:rsidR="00532E79">
        <w:t>S</w:t>
      </w:r>
      <w:r w:rsidRPr="001E0425">
        <w:t>teps</w:t>
      </w:r>
      <w:r w:rsidR="00532E79">
        <w:t xml:space="preserve"> 7, 9 and 10</w:t>
      </w:r>
      <w:r w:rsidRPr="001E0425">
        <w:t xml:space="preserve"> are considered </w:t>
      </w:r>
      <w:r w:rsidR="00795C69">
        <w:t xml:space="preserve">as </w:t>
      </w:r>
      <w:r w:rsidR="00F11568">
        <w:t>“</w:t>
      </w:r>
      <w:r w:rsidRPr="001E0425">
        <w:t xml:space="preserve">in-between” steps (cf. </w:t>
      </w:r>
      <w:r w:rsidR="003370A7">
        <w:rPr>
          <w:lang w:val="en-GB"/>
        </w:rPr>
        <w:t xml:space="preserve">sheet “overview” in the calculation tool </w:t>
      </w:r>
      <w:r w:rsidR="003370A7" w:rsidRPr="00F7790D">
        <w:rPr>
          <w:shd w:val="clear" w:color="auto" w:fill="CCFFFF"/>
        </w:rPr>
        <w:t>“</w:t>
      </w:r>
      <w:proofErr w:type="spellStart"/>
      <w:r w:rsidR="003370A7" w:rsidRPr="00F7790D">
        <w:rPr>
          <w:shd w:val="clear" w:color="auto" w:fill="CCFFFF"/>
        </w:rPr>
        <w:t>AGD_AquaMix</w:t>
      </w:r>
      <w:proofErr w:type="spellEnd"/>
      <w:r w:rsidR="003370A7" w:rsidRPr="00F7790D">
        <w:rPr>
          <w:shd w:val="clear" w:color="auto" w:fill="CCFFFF"/>
        </w:rPr>
        <w:t>”</w:t>
      </w:r>
      <w:r w:rsidRPr="001E0425">
        <w:t>)</w:t>
      </w:r>
      <w:r w:rsidR="00795C69">
        <w:t>;</w:t>
      </w:r>
      <w:r w:rsidRPr="001E0425">
        <w:t xml:space="preserve"> thus, </w:t>
      </w:r>
      <w:r w:rsidR="00795C69">
        <w:t xml:space="preserve">they are </w:t>
      </w:r>
      <w:r w:rsidRPr="001E0425">
        <w:t xml:space="preserve">already mentioned here instead of using the order in which </w:t>
      </w:r>
      <w:r w:rsidR="00516E9B">
        <w:t>the steps</w:t>
      </w:r>
      <w:r w:rsidRPr="001E0425">
        <w:t xml:space="preserve"> are numbered in the AGD</w:t>
      </w:r>
      <w:r>
        <w:t>.</w:t>
      </w:r>
      <w:r w:rsidR="00532E79">
        <w:t xml:space="preserve"> </w:t>
      </w:r>
      <w:r>
        <w:t>In th</w:t>
      </w:r>
      <w:r w:rsidR="009E64A5">
        <w:t>is section</w:t>
      </w:r>
      <w:r>
        <w:t xml:space="preserve"> d</w:t>
      </w:r>
      <w:r w:rsidR="00080FCD" w:rsidRPr="00473A0D">
        <w:t xml:space="preserve">iscuss e.g. toxic co-formulants, synergism, literature data, mixture toxicity calculation with “unbound endpoints”, </w:t>
      </w:r>
      <w:r w:rsidR="00080FCD">
        <w:t xml:space="preserve">differences in the test system, </w:t>
      </w:r>
      <w:r w:rsidR="00080FCD" w:rsidRPr="00473A0D">
        <w:t xml:space="preserve">sensitive species </w:t>
      </w:r>
      <w:r w:rsidR="00C26C28">
        <w:t>…</w:t>
      </w:r>
      <w:r w:rsidR="00532E79">
        <w:t xml:space="preserve"> </w:t>
      </w:r>
      <w:r w:rsidR="009E64A5">
        <w:t>Some f</w:t>
      </w:r>
      <w:r w:rsidR="00080FCD" w:rsidRPr="00532E79">
        <w:rPr>
          <w:shd w:val="clear" w:color="auto" w:fill="CCFFFF"/>
        </w:rPr>
        <w:t xml:space="preserve">urther suggestions are given </w:t>
      </w:r>
      <w:r w:rsidRPr="00532E79">
        <w:rPr>
          <w:shd w:val="clear" w:color="auto" w:fill="CCFFFF"/>
        </w:rPr>
        <w:t xml:space="preserve">in </w:t>
      </w:r>
      <w:r w:rsidR="00080FCD" w:rsidRPr="00532E79">
        <w:rPr>
          <w:shd w:val="clear" w:color="auto" w:fill="CCFFFF"/>
        </w:rPr>
        <w:t>the mixture toxicity calculation tool “</w:t>
      </w:r>
      <w:proofErr w:type="spellStart"/>
      <w:r w:rsidR="00080FCD" w:rsidRPr="00532E79">
        <w:rPr>
          <w:shd w:val="clear" w:color="auto" w:fill="CCFFFF"/>
        </w:rPr>
        <w:t>AGD_AquaMix</w:t>
      </w:r>
      <w:proofErr w:type="spellEnd"/>
      <w:r w:rsidR="00080FCD" w:rsidRPr="00532E79">
        <w:rPr>
          <w:shd w:val="clear" w:color="auto" w:fill="CCFFFF"/>
        </w:rPr>
        <w:t>” in the respective sheets (Step 7, Step 9, Step 10).</w:t>
      </w:r>
      <w:r w:rsidR="008D53B1">
        <w:rPr>
          <w:shd w:val="clear" w:color="auto" w:fill="CCFFFF"/>
        </w:rPr>
        <w:t xml:space="preserve"> </w:t>
      </w:r>
      <w:r w:rsidR="008D53B1" w:rsidRPr="00F11568">
        <w:rPr>
          <w:b/>
          <w:shd w:val="clear" w:color="auto" w:fill="CCFFFF"/>
        </w:rPr>
        <w:t xml:space="preserve">If not needed (all MDR </w:t>
      </w:r>
      <w:r w:rsidR="008D53B1" w:rsidRPr="00F11568">
        <w:rPr>
          <w:b/>
        </w:rPr>
        <w:t>= 0.2 – 5)</w:t>
      </w:r>
      <w:r w:rsidR="008D53B1" w:rsidRPr="00F11568">
        <w:rPr>
          <w:b/>
          <w:shd w:val="clear" w:color="auto" w:fill="CCFFFF"/>
        </w:rPr>
        <w:t xml:space="preserve"> delete this section.</w:t>
      </w:r>
    </w:p>
    <w:p w14:paraId="63F585E1" w14:textId="082A10D1" w:rsidR="00080FCD" w:rsidRPr="001E0425" w:rsidRDefault="001E0425" w:rsidP="00C26C28">
      <w:pPr>
        <w:pStyle w:val="RepStandard"/>
        <w:pBdr>
          <w:top w:val="single" w:sz="4" w:space="0" w:color="auto" w:shadow="1"/>
          <w:left w:val="single" w:sz="4" w:space="4" w:color="auto" w:shadow="1"/>
          <w:bottom w:val="single" w:sz="4" w:space="1" w:color="auto" w:shadow="1"/>
          <w:right w:val="single" w:sz="4" w:space="4" w:color="auto" w:shadow="1"/>
        </w:pBdr>
        <w:shd w:val="clear" w:color="auto" w:fill="CCFFFF"/>
        <w:spacing w:before="120" w:after="120"/>
        <w:rPr>
          <w:b/>
          <w:shd w:val="clear" w:color="auto" w:fill="CCFFFF"/>
          <w:lang w:val="en-US"/>
        </w:rPr>
      </w:pPr>
      <w:r w:rsidRPr="001E0425">
        <w:t xml:space="preserve">Please, mind that in the AGD 10.3.4 it is noted that a modified trigger could be used for synergism (e.g. ETR-trigger/MDR or AF*MDR -&gt; Go to Step 8) to enable an approximate risk assessment. This is particularly important if synergism is identified, but product data cannot be utilized, </w:t>
      </w:r>
      <w:r w:rsidR="00646780">
        <w:t xml:space="preserve">e.g. </w:t>
      </w:r>
      <w:r w:rsidRPr="001E0425">
        <w:t>because the mixture in the environment (</w:t>
      </w:r>
      <w:proofErr w:type="spellStart"/>
      <w:r w:rsidRPr="001E0425">
        <w:t>PEC</w:t>
      </w:r>
      <w:r w:rsidRPr="001E0425">
        <w:rPr>
          <w:vertAlign w:val="subscript"/>
        </w:rPr>
        <w:t>mix</w:t>
      </w:r>
      <w:proofErr w:type="spellEnd"/>
      <w:r w:rsidRPr="001E0425">
        <w:t>) differs from the mixture in the product (according to Step 3).</w:t>
      </w:r>
    </w:p>
    <w:p w14:paraId="147A663E" w14:textId="77777777" w:rsidR="008D53B1" w:rsidRPr="00B4586D" w:rsidRDefault="008D53B1" w:rsidP="008D53B1">
      <w:pPr>
        <w:pStyle w:val="RepStandard"/>
        <w:spacing w:before="120" w:after="120"/>
        <w:rPr>
          <w:lang w:val="en-US"/>
        </w:rPr>
      </w:pPr>
      <w:r w:rsidRPr="00B4586D">
        <w:rPr>
          <w:highlight w:val="yellow"/>
          <w:lang w:val="en-US"/>
        </w:rPr>
        <w:t>Due to missing data (Step 7)</w:t>
      </w:r>
      <w:r>
        <w:rPr>
          <w:highlight w:val="yellow"/>
          <w:lang w:val="en-US"/>
        </w:rPr>
        <w:t>/A</w:t>
      </w:r>
      <w:r w:rsidRPr="00B4586D">
        <w:rPr>
          <w:highlight w:val="yellow"/>
          <w:lang w:val="en-US"/>
        </w:rPr>
        <w:t>ccording to the MDR calculation</w:t>
      </w:r>
      <w:r w:rsidRPr="009F20B8">
        <w:rPr>
          <w:lang w:val="en-US"/>
        </w:rPr>
        <w:t xml:space="preserve"> a discussion regarding </w:t>
      </w:r>
      <w:r w:rsidRPr="00B4586D">
        <w:rPr>
          <w:highlight w:val="yellow"/>
          <w:lang w:val="en-US"/>
        </w:rPr>
        <w:t>antagonism/synergism (Step</w:t>
      </w:r>
      <w:r>
        <w:rPr>
          <w:highlight w:val="yellow"/>
          <w:lang w:val="en-US"/>
        </w:rPr>
        <w:t xml:space="preserve"> </w:t>
      </w:r>
      <w:r w:rsidRPr="00B4586D">
        <w:rPr>
          <w:highlight w:val="yellow"/>
          <w:lang w:val="en-US"/>
        </w:rPr>
        <w:t>9/Step</w:t>
      </w:r>
      <w:r>
        <w:rPr>
          <w:highlight w:val="yellow"/>
          <w:lang w:val="en-US"/>
        </w:rPr>
        <w:t xml:space="preserve"> </w:t>
      </w:r>
      <w:r w:rsidRPr="00B4586D">
        <w:rPr>
          <w:highlight w:val="yellow"/>
          <w:lang w:val="en-US"/>
        </w:rPr>
        <w:t>10)</w:t>
      </w:r>
      <w:r>
        <w:rPr>
          <w:lang w:val="en-US"/>
        </w:rPr>
        <w:t xml:space="preserve"> is indicated </w:t>
      </w:r>
      <w:r>
        <w:rPr>
          <w:highlight w:val="yellow"/>
          <w:lang w:val="en-US"/>
        </w:rPr>
        <w:t>for fish/invertebrates/algae/macrophytes.</w:t>
      </w:r>
    </w:p>
    <w:p w14:paraId="638C1FC2" w14:textId="00A823B2" w:rsidR="00080FCD" w:rsidRDefault="00080FCD" w:rsidP="00AA2133">
      <w:pPr>
        <w:pStyle w:val="RepStandard"/>
        <w:spacing w:before="120" w:after="120"/>
        <w:rPr>
          <w:highlight w:val="yellow"/>
          <w:lang w:val="en-US"/>
        </w:rPr>
      </w:pPr>
      <w:r w:rsidRPr="009F20B8">
        <w:rPr>
          <w:highlight w:val="yellow"/>
          <w:lang w:val="en-US"/>
        </w:rPr>
        <w:t>&lt;</w:t>
      </w:r>
      <w:r w:rsidR="002A72F0">
        <w:rPr>
          <w:highlight w:val="yellow"/>
          <w:lang w:val="en-US"/>
        </w:rPr>
        <w:t>Add di</w:t>
      </w:r>
      <w:r w:rsidRPr="009F20B8">
        <w:rPr>
          <w:highlight w:val="yellow"/>
          <w:lang w:val="en-US"/>
        </w:rPr>
        <w:t>scussion</w:t>
      </w:r>
      <w:r w:rsidR="002A72F0">
        <w:rPr>
          <w:highlight w:val="yellow"/>
          <w:lang w:val="en-US"/>
        </w:rPr>
        <w:t xml:space="preserve"> for the respective organism group</w:t>
      </w:r>
      <w:r w:rsidRPr="009F20B8">
        <w:rPr>
          <w:highlight w:val="yellow"/>
          <w:lang w:val="en-US"/>
        </w:rPr>
        <w:t>&gt;</w:t>
      </w:r>
    </w:p>
    <w:p w14:paraId="16743A67" w14:textId="23965A34" w:rsidR="00080FCD" w:rsidRDefault="00080FCD" w:rsidP="00AA2133">
      <w:pPr>
        <w:pStyle w:val="RepStandard"/>
        <w:spacing w:before="120" w:after="120"/>
        <w:jc w:val="left"/>
        <w:rPr>
          <w:b/>
          <w:lang w:val="en-US"/>
        </w:rPr>
      </w:pPr>
      <w:r w:rsidRPr="00E44B38">
        <w:rPr>
          <w:b/>
          <w:lang w:val="en-US"/>
        </w:rPr>
        <w:t xml:space="preserve">Step 3 </w:t>
      </w:r>
      <w:r w:rsidRPr="00E44B38">
        <w:rPr>
          <w:lang w:val="en-US"/>
        </w:rPr>
        <w:t>Comparison</w:t>
      </w:r>
      <w:r>
        <w:rPr>
          <w:lang w:val="en-US"/>
        </w:rPr>
        <w:t xml:space="preserve"> of</w:t>
      </w:r>
      <w:r w:rsidRPr="00226F49">
        <w:rPr>
          <w:lang w:val="en-US"/>
        </w:rPr>
        <w:t xml:space="preserve"> mixture composition of PPP and </w:t>
      </w:r>
      <w:proofErr w:type="spellStart"/>
      <w:r w:rsidRPr="00226F49">
        <w:rPr>
          <w:lang w:val="en-US"/>
        </w:rPr>
        <w:t>PEC</w:t>
      </w:r>
      <w:r w:rsidRPr="00226F49">
        <w:rPr>
          <w:vertAlign w:val="subscript"/>
          <w:lang w:val="en-US"/>
        </w:rPr>
        <w:t>mix</w:t>
      </w:r>
      <w:proofErr w:type="spellEnd"/>
    </w:p>
    <w:p w14:paraId="33062BEE" w14:textId="03920487" w:rsidR="00532E79" w:rsidRPr="001E6D95" w:rsidRDefault="00532E79" w:rsidP="00532E79">
      <w:pPr>
        <w:pStyle w:val="RepStandard"/>
        <w:pBdr>
          <w:top w:val="single" w:sz="4" w:space="1" w:color="auto" w:shadow="1"/>
          <w:left w:val="single" w:sz="4" w:space="4" w:color="auto" w:shadow="1"/>
          <w:bottom w:val="single" w:sz="4" w:space="1" w:color="auto" w:shadow="1"/>
          <w:right w:val="single" w:sz="4" w:space="4" w:color="auto" w:shadow="1"/>
        </w:pBdr>
        <w:shd w:val="clear" w:color="auto" w:fill="CCFFFF"/>
        <w:spacing w:before="120" w:after="120"/>
        <w:rPr>
          <w:lang w:val="en-US"/>
        </w:rPr>
      </w:pPr>
      <w:r>
        <w:rPr>
          <w:lang w:val="en-US"/>
        </w:rPr>
        <w:t>S</w:t>
      </w:r>
      <w:r w:rsidRPr="00652E35">
        <w:rPr>
          <w:lang w:val="en-US"/>
        </w:rPr>
        <w:t xml:space="preserve">tep </w:t>
      </w:r>
      <w:r>
        <w:rPr>
          <w:lang w:val="en-US"/>
        </w:rPr>
        <w:t xml:space="preserve">3 </w:t>
      </w:r>
      <w:r w:rsidR="009E64A5">
        <w:rPr>
          <w:lang w:val="en-US"/>
        </w:rPr>
        <w:t xml:space="preserve">(also an </w:t>
      </w:r>
      <w:r w:rsidR="003370A7">
        <w:t>“</w:t>
      </w:r>
      <w:r w:rsidR="009E64A5" w:rsidRPr="001E0425">
        <w:t>in-between” step</w:t>
      </w:r>
      <w:r w:rsidR="009E64A5">
        <w:t xml:space="preserve">) </w:t>
      </w:r>
      <w:r w:rsidRPr="00652E35">
        <w:rPr>
          <w:lang w:val="en-US"/>
        </w:rPr>
        <w:t xml:space="preserve">is conducted for each </w:t>
      </w:r>
      <w:proofErr w:type="spellStart"/>
      <w:r w:rsidRPr="00652E35">
        <w:rPr>
          <w:lang w:val="en-US"/>
        </w:rPr>
        <w:t>PEC</w:t>
      </w:r>
      <w:r w:rsidRPr="00CE5AF1">
        <w:rPr>
          <w:vertAlign w:val="subscript"/>
          <w:lang w:val="en-US"/>
        </w:rPr>
        <w:t>mix</w:t>
      </w:r>
      <w:proofErr w:type="spellEnd"/>
      <w:r w:rsidRPr="00652E35">
        <w:rPr>
          <w:lang w:val="en-US"/>
        </w:rPr>
        <w:t xml:space="preserve"> to check if product data can be used for </w:t>
      </w:r>
      <w:r>
        <w:rPr>
          <w:lang w:val="en-US"/>
        </w:rPr>
        <w:t xml:space="preserve">the </w:t>
      </w:r>
      <w:r w:rsidRPr="00652E35">
        <w:rPr>
          <w:lang w:val="en-US"/>
        </w:rPr>
        <w:t xml:space="preserve">assessment, when CA applies (i.e. MDR </w:t>
      </w:r>
      <w:r>
        <w:rPr>
          <w:lang w:val="en-US"/>
        </w:rPr>
        <w:t>=</w:t>
      </w:r>
      <w:r w:rsidRPr="00652E35">
        <w:rPr>
          <w:lang w:val="en-US"/>
        </w:rPr>
        <w:t xml:space="preserve"> 0.2</w:t>
      </w:r>
      <w:r>
        <w:rPr>
          <w:lang w:val="en-US"/>
        </w:rPr>
        <w:t xml:space="preserve"> – 5</w:t>
      </w:r>
      <w:r w:rsidRPr="00652E35">
        <w:rPr>
          <w:lang w:val="en-US"/>
        </w:rPr>
        <w:t xml:space="preserve">). </w:t>
      </w:r>
      <w:r>
        <w:rPr>
          <w:lang w:val="en-US"/>
        </w:rPr>
        <w:t xml:space="preserve">The calculation details and further explanations can be found in the calculation tool </w:t>
      </w:r>
      <w:r w:rsidRPr="00F7790D">
        <w:rPr>
          <w:shd w:val="clear" w:color="auto" w:fill="CCFFFF"/>
          <w:lang w:val="en-US"/>
        </w:rPr>
        <w:t>“</w:t>
      </w:r>
      <w:proofErr w:type="spellStart"/>
      <w:r w:rsidRPr="00F7790D">
        <w:rPr>
          <w:shd w:val="clear" w:color="auto" w:fill="CCFFFF"/>
          <w:lang w:val="en-US"/>
        </w:rPr>
        <w:t>AGD_AquaMix</w:t>
      </w:r>
      <w:proofErr w:type="spellEnd"/>
      <w:r w:rsidRPr="00F7790D">
        <w:rPr>
          <w:shd w:val="clear" w:color="auto" w:fill="CCFFFF"/>
          <w:lang w:val="en-US"/>
        </w:rPr>
        <w:t>”</w:t>
      </w:r>
      <w:r>
        <w:rPr>
          <w:shd w:val="clear" w:color="auto" w:fill="CCFFFF"/>
          <w:lang w:val="en-US"/>
        </w:rPr>
        <w:t xml:space="preserve"> (sheet Step 3) and are not repeated here. </w:t>
      </w:r>
    </w:p>
    <w:p w14:paraId="51C6FD3A" w14:textId="2A3040F8" w:rsidR="00426ADB" w:rsidRPr="00426ADB" w:rsidRDefault="00426ADB" w:rsidP="00C26C28">
      <w:pPr>
        <w:widowControl w:val="0"/>
        <w:spacing w:before="120" w:after="120"/>
        <w:jc w:val="both"/>
        <w:rPr>
          <w:lang w:val="en-GB"/>
        </w:rPr>
      </w:pPr>
      <w:r w:rsidRPr="00E8125B">
        <w:rPr>
          <w:lang w:val="en-GB"/>
        </w:rPr>
        <w:t>According to Step 3 it has to</w:t>
      </w:r>
      <w:r w:rsidRPr="00426ADB">
        <w:rPr>
          <w:lang w:val="en-GB"/>
        </w:rPr>
        <w:t xml:space="preserve"> be checked whether the mixture composition in the formulation is similar to the mixture composition at </w:t>
      </w:r>
      <w:proofErr w:type="spellStart"/>
      <w:r w:rsidRPr="00426ADB">
        <w:rPr>
          <w:lang w:val="en-GB"/>
        </w:rPr>
        <w:t>PEC</w:t>
      </w:r>
      <w:r w:rsidRPr="00426ADB">
        <w:rPr>
          <w:vertAlign w:val="subscript"/>
          <w:lang w:val="en-GB"/>
        </w:rPr>
        <w:t>mix</w:t>
      </w:r>
      <w:proofErr w:type="spellEnd"/>
      <w:r w:rsidRPr="00426ADB">
        <w:rPr>
          <w:lang w:val="en-GB"/>
        </w:rPr>
        <w:t xml:space="preserve"> (which is the sum of </w:t>
      </w:r>
      <w:proofErr w:type="spellStart"/>
      <w:r w:rsidRPr="00426ADB">
        <w:rPr>
          <w:lang w:val="en-GB"/>
        </w:rPr>
        <w:t>PEC</w:t>
      </w:r>
      <w:r w:rsidRPr="00426ADB">
        <w:rPr>
          <w:vertAlign w:val="subscript"/>
          <w:lang w:val="en-GB"/>
        </w:rPr>
        <w:t>i</w:t>
      </w:r>
      <w:proofErr w:type="spellEnd"/>
      <w:r w:rsidRPr="00426ADB">
        <w:rPr>
          <w:lang w:val="en-GB"/>
        </w:rPr>
        <w:t xml:space="preserve"> of individual active substances). Therefore, the “</w:t>
      </w:r>
      <w:proofErr w:type="spellStart"/>
      <w:r w:rsidRPr="00426ADB">
        <w:rPr>
          <w:lang w:val="en-GB"/>
        </w:rPr>
        <w:t>ECx</w:t>
      </w:r>
      <w:r w:rsidRPr="00426ADB">
        <w:rPr>
          <w:vertAlign w:val="subscript"/>
          <w:lang w:val="en-GB"/>
        </w:rPr>
        <w:t>mix</w:t>
      </w:r>
      <w:proofErr w:type="spellEnd"/>
      <w:r w:rsidRPr="00426ADB">
        <w:rPr>
          <w:vertAlign w:val="subscript"/>
          <w:lang w:val="en-GB"/>
        </w:rPr>
        <w:t>-CA</w:t>
      </w:r>
      <w:r>
        <w:rPr>
          <w:vertAlign w:val="subscript"/>
          <w:lang w:val="en-GB"/>
        </w:rPr>
        <w:t xml:space="preserve"> </w:t>
      </w:r>
      <w:r w:rsidRPr="00426ADB">
        <w:rPr>
          <w:lang w:val="en-GB"/>
        </w:rPr>
        <w:t>(</w:t>
      </w:r>
      <w:proofErr w:type="spellStart"/>
      <w:r w:rsidRPr="00426ADB">
        <w:rPr>
          <w:lang w:val="en-GB"/>
        </w:rPr>
        <w:t>a.s.</w:t>
      </w:r>
      <w:proofErr w:type="spellEnd"/>
      <w:r w:rsidRPr="00426ADB">
        <w:rPr>
          <w:lang w:val="en-GB"/>
        </w:rPr>
        <w:t xml:space="preserve"> in PPP) / </w:t>
      </w:r>
      <w:proofErr w:type="spellStart"/>
      <w:r w:rsidRPr="00426ADB">
        <w:rPr>
          <w:lang w:val="en-GB"/>
        </w:rPr>
        <w:t>ECx</w:t>
      </w:r>
      <w:r w:rsidRPr="00426ADB">
        <w:rPr>
          <w:vertAlign w:val="subscript"/>
          <w:lang w:val="en-GB"/>
        </w:rPr>
        <w:t>mix</w:t>
      </w:r>
      <w:proofErr w:type="spellEnd"/>
      <w:r w:rsidRPr="00426ADB">
        <w:rPr>
          <w:vertAlign w:val="subscript"/>
          <w:lang w:val="en-GB"/>
        </w:rPr>
        <w:t>-CA</w:t>
      </w:r>
      <w:r>
        <w:rPr>
          <w:vertAlign w:val="subscript"/>
          <w:lang w:val="en-GB"/>
        </w:rPr>
        <w:t xml:space="preserve"> </w:t>
      </w:r>
      <w:r w:rsidRPr="00426ADB">
        <w:rPr>
          <w:lang w:val="en-GB"/>
        </w:rPr>
        <w:t>(</w:t>
      </w:r>
      <w:proofErr w:type="spellStart"/>
      <w:r w:rsidRPr="00426ADB">
        <w:rPr>
          <w:lang w:val="en-GB"/>
        </w:rPr>
        <w:t>a.s.</w:t>
      </w:r>
      <w:proofErr w:type="spellEnd"/>
      <w:r w:rsidRPr="00426ADB">
        <w:rPr>
          <w:lang w:val="en-GB"/>
        </w:rPr>
        <w:t xml:space="preserve"> in </w:t>
      </w:r>
      <w:proofErr w:type="spellStart"/>
      <w:r w:rsidRPr="00426ADB">
        <w:rPr>
          <w:lang w:val="en-GB"/>
        </w:rPr>
        <w:t>PEC</w:t>
      </w:r>
      <w:r w:rsidRPr="00426ADB">
        <w:rPr>
          <w:vertAlign w:val="subscript"/>
          <w:lang w:val="en-GB"/>
        </w:rPr>
        <w:t>mix</w:t>
      </w:r>
      <w:proofErr w:type="spellEnd"/>
      <w:r w:rsidRPr="00426ADB">
        <w:rPr>
          <w:lang w:val="en-GB"/>
        </w:rPr>
        <w:t xml:space="preserve">)” ratios </w:t>
      </w:r>
      <w:r w:rsidR="008D53B1">
        <w:rPr>
          <w:lang w:val="en-GB"/>
        </w:rPr>
        <w:t>were</w:t>
      </w:r>
      <w:r w:rsidRPr="00426ADB">
        <w:rPr>
          <w:lang w:val="en-GB"/>
        </w:rPr>
        <w:t xml:space="preserve"> calculated. </w:t>
      </w:r>
    </w:p>
    <w:p w14:paraId="59ED6F7D" w14:textId="79681AC7" w:rsidR="00426ADB" w:rsidRPr="00E8125B" w:rsidRDefault="00426ADB" w:rsidP="00C26C28">
      <w:pPr>
        <w:widowControl w:val="0"/>
        <w:spacing w:before="120" w:after="120"/>
        <w:jc w:val="both"/>
        <w:rPr>
          <w:lang w:val="en-GB"/>
        </w:rPr>
      </w:pPr>
      <w:r w:rsidRPr="00426ADB">
        <w:rPr>
          <w:lang w:val="en-GB"/>
        </w:rPr>
        <w:t xml:space="preserve">In case the ratio </w:t>
      </w:r>
      <w:r w:rsidR="00A03776">
        <w:rPr>
          <w:lang w:val="en-GB"/>
        </w:rPr>
        <w:t>is</w:t>
      </w:r>
      <w:r w:rsidRPr="00426ADB">
        <w:rPr>
          <w:lang w:val="en-GB"/>
        </w:rPr>
        <w:t xml:space="preserve"> in the range of 0.8–1.2 (mixture similar), the risk assessment </w:t>
      </w:r>
      <w:r w:rsidR="00A03776">
        <w:rPr>
          <w:lang w:val="en-GB"/>
        </w:rPr>
        <w:t>can</w:t>
      </w:r>
      <w:r w:rsidR="008D53B1">
        <w:rPr>
          <w:lang w:val="en-GB"/>
        </w:rPr>
        <w:t xml:space="preserve"> be</w:t>
      </w:r>
      <w:r w:rsidRPr="00426ADB">
        <w:rPr>
          <w:lang w:val="en-GB"/>
        </w:rPr>
        <w:t xml:space="preserve"> based on the </w:t>
      </w:r>
      <w:proofErr w:type="spellStart"/>
      <w:r w:rsidRPr="00E8125B">
        <w:rPr>
          <w:lang w:val="en-GB"/>
        </w:rPr>
        <w:t>ECx</w:t>
      </w:r>
      <w:r w:rsidRPr="00E8125B">
        <w:rPr>
          <w:vertAlign w:val="subscript"/>
          <w:lang w:val="en-GB"/>
        </w:rPr>
        <w:t>PPP</w:t>
      </w:r>
      <w:proofErr w:type="spellEnd"/>
      <w:r w:rsidRPr="00E8125B">
        <w:rPr>
          <w:lang w:val="en-GB"/>
        </w:rPr>
        <w:t xml:space="preserve"> (Step 4). </w:t>
      </w:r>
    </w:p>
    <w:p w14:paraId="33FBC112" w14:textId="48386C53" w:rsidR="00080FCD" w:rsidRPr="00E8125B" w:rsidRDefault="00426ADB" w:rsidP="00C26C28">
      <w:pPr>
        <w:widowControl w:val="0"/>
        <w:spacing w:before="120" w:after="120"/>
        <w:jc w:val="both"/>
        <w:rPr>
          <w:lang w:val="en-GB"/>
        </w:rPr>
      </w:pPr>
      <w:r w:rsidRPr="00E8125B">
        <w:rPr>
          <w:lang w:val="en-GB"/>
        </w:rPr>
        <w:t xml:space="preserve">In case the ratio </w:t>
      </w:r>
      <w:r w:rsidR="00A03776">
        <w:rPr>
          <w:lang w:val="en-GB"/>
        </w:rPr>
        <w:t>is</w:t>
      </w:r>
      <w:r w:rsidR="00BE76D4" w:rsidRPr="00E8125B">
        <w:rPr>
          <w:lang w:val="en-GB"/>
        </w:rPr>
        <w:t xml:space="preserve"> </w:t>
      </w:r>
      <w:r w:rsidRPr="00E8125B">
        <w:rPr>
          <w:lang w:val="en-GB"/>
        </w:rPr>
        <w:t>outside the range of 0.8–1.2 (</w:t>
      </w:r>
      <w:r w:rsidR="00BE76D4" w:rsidRPr="00E8125B">
        <w:rPr>
          <w:lang w:val="en-GB"/>
        </w:rPr>
        <w:t xml:space="preserve">i.e. </w:t>
      </w:r>
      <w:r w:rsidRPr="00E8125B">
        <w:rPr>
          <w:lang w:val="en-GB"/>
        </w:rPr>
        <w:t xml:space="preserve">mixture not similar), the endpoint </w:t>
      </w:r>
      <w:proofErr w:type="spellStart"/>
      <w:r w:rsidRPr="00E8125B">
        <w:rPr>
          <w:lang w:val="en-GB"/>
        </w:rPr>
        <w:t>ECx</w:t>
      </w:r>
      <w:r w:rsidRPr="00E8125B">
        <w:rPr>
          <w:vertAlign w:val="subscript"/>
          <w:lang w:val="en-GB"/>
        </w:rPr>
        <w:t>mix</w:t>
      </w:r>
      <w:proofErr w:type="spellEnd"/>
      <w:r w:rsidRPr="00E8125B">
        <w:rPr>
          <w:vertAlign w:val="subscript"/>
          <w:lang w:val="en-GB"/>
        </w:rPr>
        <w:t>-CA</w:t>
      </w:r>
      <w:r w:rsidRPr="00E8125B">
        <w:rPr>
          <w:lang w:val="en-GB"/>
        </w:rPr>
        <w:t xml:space="preserve"> normalized to the mixture composition at </w:t>
      </w:r>
      <w:proofErr w:type="spellStart"/>
      <w:r w:rsidRPr="00E8125B">
        <w:rPr>
          <w:lang w:val="en-GB"/>
        </w:rPr>
        <w:t>PEC</w:t>
      </w:r>
      <w:r w:rsidRPr="00E8125B">
        <w:rPr>
          <w:vertAlign w:val="subscript"/>
          <w:lang w:val="en-GB"/>
        </w:rPr>
        <w:t>mix</w:t>
      </w:r>
      <w:proofErr w:type="spellEnd"/>
      <w:r w:rsidRPr="00E8125B">
        <w:rPr>
          <w:lang w:val="en-GB"/>
        </w:rPr>
        <w:t xml:space="preserve"> (reported as “</w:t>
      </w:r>
      <w:proofErr w:type="spellStart"/>
      <w:r w:rsidRPr="00E8125B">
        <w:rPr>
          <w:lang w:val="en-GB"/>
        </w:rPr>
        <w:t>ECx</w:t>
      </w:r>
      <w:r w:rsidRPr="00E8125B">
        <w:rPr>
          <w:vertAlign w:val="subscript"/>
          <w:lang w:val="en-GB"/>
        </w:rPr>
        <w:t>mix</w:t>
      </w:r>
      <w:proofErr w:type="spellEnd"/>
      <w:r w:rsidRPr="00E8125B">
        <w:rPr>
          <w:vertAlign w:val="subscript"/>
          <w:lang w:val="en-GB"/>
        </w:rPr>
        <w:t>-CA</w:t>
      </w:r>
      <w:r w:rsidRPr="00E8125B">
        <w:rPr>
          <w:lang w:val="en-GB"/>
        </w:rPr>
        <w:t xml:space="preserve"> (</w:t>
      </w:r>
      <w:proofErr w:type="spellStart"/>
      <w:r w:rsidRPr="00E8125B">
        <w:rPr>
          <w:lang w:val="en-GB"/>
        </w:rPr>
        <w:t>a.s.</w:t>
      </w:r>
      <w:proofErr w:type="spellEnd"/>
      <w:r w:rsidRPr="00E8125B">
        <w:rPr>
          <w:lang w:val="en-GB"/>
        </w:rPr>
        <w:t xml:space="preserve"> in </w:t>
      </w:r>
      <w:proofErr w:type="spellStart"/>
      <w:r w:rsidRPr="00E8125B">
        <w:rPr>
          <w:lang w:val="en-GB"/>
        </w:rPr>
        <w:t>PEC</w:t>
      </w:r>
      <w:r w:rsidRPr="00E8125B">
        <w:rPr>
          <w:vertAlign w:val="subscript"/>
          <w:lang w:val="en-GB"/>
        </w:rPr>
        <w:t>mix</w:t>
      </w:r>
      <w:proofErr w:type="spellEnd"/>
      <w:r w:rsidRPr="00E8125B">
        <w:rPr>
          <w:lang w:val="en-GB"/>
        </w:rPr>
        <w:t>)” in EFSA</w:t>
      </w:r>
      <w:r w:rsidR="00F24D57" w:rsidRPr="00E8125B">
        <w:rPr>
          <w:lang w:val="en-GB"/>
        </w:rPr>
        <w:t xml:space="preserve">, </w:t>
      </w:r>
      <w:r w:rsidRPr="00E8125B">
        <w:rPr>
          <w:lang w:val="en-GB"/>
        </w:rPr>
        <w:t>2013</w:t>
      </w:r>
      <w:r w:rsidR="00F24D57" w:rsidRPr="00E8125B">
        <w:rPr>
          <w:lang w:val="en-GB"/>
        </w:rPr>
        <w:t>,</w:t>
      </w:r>
      <w:r w:rsidRPr="00E8125B">
        <w:rPr>
          <w:lang w:val="en-GB"/>
        </w:rPr>
        <w:t xml:space="preserve"> and the following parts of this report) </w:t>
      </w:r>
      <w:r w:rsidR="008D53B1" w:rsidRPr="00E8125B">
        <w:rPr>
          <w:lang w:val="en-GB"/>
        </w:rPr>
        <w:t>ha</w:t>
      </w:r>
      <w:r w:rsidR="00A03776">
        <w:rPr>
          <w:lang w:val="en-GB"/>
        </w:rPr>
        <w:t>s</w:t>
      </w:r>
      <w:r w:rsidR="008D53B1" w:rsidRPr="00E8125B">
        <w:rPr>
          <w:lang w:val="en-GB"/>
        </w:rPr>
        <w:t xml:space="preserve"> to</w:t>
      </w:r>
      <w:r w:rsidRPr="00E8125B">
        <w:rPr>
          <w:lang w:val="en-GB"/>
        </w:rPr>
        <w:t xml:space="preserve"> be used to calculate the risk (Step 5 or Step</w:t>
      </w:r>
      <w:r w:rsidR="00E8125B">
        <w:rPr>
          <w:lang w:val="en-GB"/>
        </w:rPr>
        <w:t> </w:t>
      </w:r>
      <w:r w:rsidRPr="00E8125B">
        <w:rPr>
          <w:lang w:val="en-GB"/>
        </w:rPr>
        <w:t>8, respectively).</w:t>
      </w:r>
    </w:p>
    <w:p w14:paraId="05805ADD" w14:textId="404DA355" w:rsidR="00F07484" w:rsidRDefault="00F07484" w:rsidP="00C26C28">
      <w:pPr>
        <w:widowControl w:val="0"/>
        <w:spacing w:before="120" w:after="120"/>
        <w:jc w:val="both"/>
        <w:rPr>
          <w:highlight w:val="yellow"/>
        </w:rPr>
      </w:pPr>
      <w:r w:rsidRPr="00F7790D">
        <w:rPr>
          <w:lang w:val="en-GB"/>
        </w:rPr>
        <w:t>The decision how the mixture risk assessment is conducted depends on the organism group as well as the assessed FOCUS Scenarios.</w:t>
      </w:r>
      <w:r w:rsidR="00E8125B">
        <w:rPr>
          <w:lang w:val="en-GB"/>
        </w:rPr>
        <w:t xml:space="preserve"> </w:t>
      </w:r>
      <w:r w:rsidR="00A03776">
        <w:rPr>
          <w:lang w:val="en-GB"/>
        </w:rPr>
        <w:t>The o</w:t>
      </w:r>
      <w:r w:rsidRPr="00F7790D">
        <w:rPr>
          <w:lang w:val="en-GB"/>
        </w:rPr>
        <w:t xml:space="preserve">verall mixture risk assessment results are given in </w:t>
      </w:r>
      <w:r w:rsidRPr="00F7790D">
        <w:rPr>
          <w:lang w:val="en-GB"/>
        </w:rPr>
        <w:fldChar w:fldCharType="begin"/>
      </w:r>
      <w:r w:rsidRPr="00F7790D">
        <w:rPr>
          <w:lang w:val="en-GB"/>
        </w:rPr>
        <w:instrText xml:space="preserve"> REF _Ref37772002 \h  \* MERGEFORMAT </w:instrText>
      </w:r>
      <w:r w:rsidRPr="00F7790D">
        <w:rPr>
          <w:lang w:val="en-GB"/>
        </w:rPr>
      </w:r>
      <w:r w:rsidRPr="00F7790D">
        <w:rPr>
          <w:lang w:val="en-GB"/>
        </w:rPr>
        <w:fldChar w:fldCharType="separate"/>
      </w:r>
      <w:r w:rsidR="00EE5667" w:rsidRPr="005F2574">
        <w:t xml:space="preserve">Table </w:t>
      </w:r>
      <w:r w:rsidR="00EE5667">
        <w:rPr>
          <w:noProof/>
        </w:rPr>
        <w:t>9.5.2.2</w:t>
      </w:r>
      <w:r w:rsidR="00EE5667" w:rsidRPr="005F2574">
        <w:rPr>
          <w:noProof/>
        </w:rPr>
        <w:noBreakHyphen/>
      </w:r>
      <w:r w:rsidR="00EE5667">
        <w:rPr>
          <w:noProof/>
        </w:rPr>
        <w:t>3</w:t>
      </w:r>
      <w:r w:rsidRPr="00F7790D">
        <w:rPr>
          <w:lang w:val="en-GB"/>
        </w:rPr>
        <w:fldChar w:fldCharType="end"/>
      </w:r>
      <w:r w:rsidR="00F7790D" w:rsidRPr="00F7790D">
        <w:rPr>
          <w:lang w:val="en-GB"/>
        </w:rPr>
        <w:t xml:space="preserve">, in which it is documented if product or calculated endpoint data (according to Step 3) have </w:t>
      </w:r>
      <w:r w:rsidR="009E64A5">
        <w:rPr>
          <w:lang w:val="en-GB"/>
        </w:rPr>
        <w:t>to be</w:t>
      </w:r>
      <w:r w:rsidR="00F7790D" w:rsidRPr="00F7790D">
        <w:rPr>
          <w:lang w:val="en-GB"/>
        </w:rPr>
        <w:t xml:space="preserve"> used</w:t>
      </w:r>
      <w:r w:rsidRPr="00F7790D">
        <w:rPr>
          <w:lang w:val="en-GB"/>
        </w:rPr>
        <w:t xml:space="preserve">. </w:t>
      </w:r>
      <w:r w:rsidRPr="00F7790D">
        <w:t xml:space="preserve">Further in-depth justification and explanation </w:t>
      </w:r>
      <w:r w:rsidR="00A03776">
        <w:t>are</w:t>
      </w:r>
      <w:r w:rsidRPr="00F7790D">
        <w:t xml:space="preserve"> documented in </w:t>
      </w:r>
      <w:r w:rsidRPr="00F7790D">
        <w:rPr>
          <w:highlight w:val="yellow"/>
        </w:rPr>
        <w:t>the attached</w:t>
      </w:r>
      <w:r w:rsidR="00B42C5B">
        <w:rPr>
          <w:highlight w:val="yellow"/>
        </w:rPr>
        <w:t xml:space="preserve"> mixture risk calculation</w:t>
      </w:r>
      <w:r w:rsidRPr="00F7790D">
        <w:rPr>
          <w:highlight w:val="yellow"/>
        </w:rPr>
        <w:t xml:space="preserve"> </w:t>
      </w:r>
      <w:r w:rsidR="009E64A5">
        <w:rPr>
          <w:highlight w:val="yellow"/>
        </w:rPr>
        <w:t>file</w:t>
      </w:r>
      <w:r w:rsidRPr="00F7790D">
        <w:rPr>
          <w:highlight w:val="yellow"/>
        </w:rPr>
        <w:t xml:space="preserve"> / Appendix XXX</w:t>
      </w:r>
      <w:r w:rsidR="00B42C5B">
        <w:rPr>
          <w:highlight w:val="yellow"/>
        </w:rPr>
        <w:t>.</w:t>
      </w:r>
    </w:p>
    <w:p w14:paraId="7FCD9DEA" w14:textId="273D81A8" w:rsidR="00532E79" w:rsidRPr="00B77B29" w:rsidRDefault="00532E79" w:rsidP="00532E79">
      <w:pPr>
        <w:widowControl w:val="0"/>
        <w:pBdr>
          <w:top w:val="single" w:sz="4" w:space="1" w:color="auto" w:shadow="1"/>
          <w:left w:val="single" w:sz="4" w:space="4" w:color="auto" w:shadow="1"/>
          <w:bottom w:val="single" w:sz="4" w:space="1" w:color="auto" w:shadow="1"/>
          <w:right w:val="single" w:sz="4" w:space="4" w:color="auto" w:shadow="1"/>
        </w:pBdr>
        <w:shd w:val="clear" w:color="auto" w:fill="CCFFFF"/>
        <w:spacing w:before="120" w:after="120"/>
        <w:jc w:val="both"/>
      </w:pPr>
      <w:r>
        <w:rPr>
          <w:shd w:val="clear" w:color="auto" w:fill="CCFFFF"/>
        </w:rPr>
        <w:t>Please note, i</w:t>
      </w:r>
      <w:r w:rsidRPr="00B77B29">
        <w:rPr>
          <w:shd w:val="clear" w:color="auto" w:fill="CCFFFF"/>
        </w:rPr>
        <w:t xml:space="preserve">f a </w:t>
      </w:r>
      <w:r w:rsidRPr="00B77B29">
        <w:rPr>
          <w:b/>
          <w:shd w:val="clear" w:color="auto" w:fill="CCFFFF"/>
        </w:rPr>
        <w:t>d</w:t>
      </w:r>
      <w:r w:rsidRPr="00B77B29">
        <w:rPr>
          <w:b/>
        </w:rPr>
        <w:t>ifferent assessment factor or additional data</w:t>
      </w:r>
      <w:r w:rsidRPr="00B77B29">
        <w:t xml:space="preserve"> (e.g. sensitive species, Tier 2 A/B data) are used, Step 3 can be skipped/is not required. In </w:t>
      </w:r>
      <w:r>
        <w:t>such</w:t>
      </w:r>
      <w:r w:rsidRPr="00B77B29">
        <w:t xml:space="preserve"> case, you may insert the sentence given below in this box and delete th</w:t>
      </w:r>
      <w:r>
        <w:t>e rest of th</w:t>
      </w:r>
      <w:r w:rsidRPr="00B77B29">
        <w:t>is proposed template for Step 3</w:t>
      </w:r>
      <w:r w:rsidR="008D53B1">
        <w:t xml:space="preserve"> (text above this box)</w:t>
      </w:r>
      <w:r w:rsidRPr="00B77B29">
        <w:t>.</w:t>
      </w:r>
    </w:p>
    <w:p w14:paraId="0E300AEE" w14:textId="2677D0DD" w:rsidR="00532E79" w:rsidRPr="00B77B29" w:rsidRDefault="00532E79" w:rsidP="00532E79">
      <w:pPr>
        <w:widowControl w:val="0"/>
        <w:pBdr>
          <w:top w:val="single" w:sz="4" w:space="1" w:color="auto" w:shadow="1"/>
          <w:left w:val="single" w:sz="4" w:space="4" w:color="auto" w:shadow="1"/>
          <w:bottom w:val="single" w:sz="4" w:space="1" w:color="auto" w:shadow="1"/>
          <w:right w:val="single" w:sz="4" w:space="4" w:color="auto" w:shadow="1"/>
        </w:pBdr>
        <w:shd w:val="clear" w:color="auto" w:fill="CCFFFF"/>
        <w:spacing w:before="120" w:after="120"/>
        <w:jc w:val="both"/>
      </w:pPr>
      <w:r w:rsidRPr="00B77B29">
        <w:rPr>
          <w:b/>
          <w:u w:val="single"/>
          <w:lang w:val="en-GB"/>
        </w:rPr>
        <w:t>Reasoning</w:t>
      </w:r>
      <w:r w:rsidRPr="00B77B29">
        <w:rPr>
          <w:lang w:val="en-GB"/>
        </w:rPr>
        <w:t xml:space="preserve">: </w:t>
      </w:r>
      <w:r w:rsidRPr="00573B58">
        <w:t xml:space="preserve">in these </w:t>
      </w:r>
      <w:proofErr w:type="gramStart"/>
      <w:r w:rsidRPr="00573B58">
        <w:t>cases</w:t>
      </w:r>
      <w:proofErr w:type="gramEnd"/>
      <w:r w:rsidRPr="00573B58">
        <w:t xml:space="preserve"> using </w:t>
      </w:r>
      <w:r w:rsidRPr="00573B58">
        <w:rPr>
          <w:b/>
        </w:rPr>
        <w:t xml:space="preserve">product data (Step 4, measured risk </w:t>
      </w:r>
      <w:proofErr w:type="spellStart"/>
      <w:r w:rsidRPr="00573B58">
        <w:rPr>
          <w:b/>
        </w:rPr>
        <w:t>assesment</w:t>
      </w:r>
      <w:proofErr w:type="spellEnd"/>
      <w:r w:rsidRPr="00573B58">
        <w:rPr>
          <w:b/>
        </w:rPr>
        <w:t>) may not reflect the risk adequately</w:t>
      </w:r>
      <w:r w:rsidRPr="00573B58">
        <w:t xml:space="preserve"> since product tests are mostly conducted with standard species and rarely with the most sensitive species within an organism group. Performing the risk assessment based on the measured mixture toxicity (</w:t>
      </w:r>
      <w:proofErr w:type="spellStart"/>
      <w:r w:rsidRPr="00573B58">
        <w:t>ECx</w:t>
      </w:r>
      <w:r w:rsidRPr="00573B58">
        <w:rPr>
          <w:vertAlign w:val="subscript"/>
        </w:rPr>
        <w:t>PPP</w:t>
      </w:r>
      <w:proofErr w:type="spellEnd"/>
      <w:r w:rsidRPr="00573B58">
        <w:t xml:space="preserve">) would only be applicable if the study conducted with the PPP was performed with the most sensitive species tested. If not, this could lead to an underestimation of the risk. Thus, in the cases where additional data (i.e. sensitive species) are available the risk assessment should be conducted according to </w:t>
      </w:r>
      <w:r w:rsidR="00534C00">
        <w:t>S</w:t>
      </w:r>
      <w:r w:rsidRPr="00573B58">
        <w:t>tep 8.</w:t>
      </w:r>
    </w:p>
    <w:p w14:paraId="641FF5BF" w14:textId="77777777" w:rsidR="00532E79" w:rsidRPr="00426ADB" w:rsidRDefault="00532E79" w:rsidP="00532E79">
      <w:pPr>
        <w:widowControl w:val="0"/>
        <w:spacing w:before="120" w:after="120"/>
        <w:jc w:val="both"/>
        <w:rPr>
          <w:highlight w:val="yellow"/>
        </w:rPr>
      </w:pPr>
      <w:r w:rsidRPr="00573B58">
        <w:rPr>
          <w:highlight w:val="yellow"/>
          <w:lang w:val="en-GB"/>
        </w:rPr>
        <w:t xml:space="preserve">According to </w:t>
      </w:r>
      <w:r w:rsidRPr="00573B58">
        <w:rPr>
          <w:b/>
          <w:highlight w:val="yellow"/>
          <w:lang w:val="en-GB"/>
        </w:rPr>
        <w:t>Step 3</w:t>
      </w:r>
      <w:r w:rsidRPr="00573B58">
        <w:rPr>
          <w:highlight w:val="yellow"/>
          <w:lang w:val="en-GB"/>
        </w:rPr>
        <w:t xml:space="preserve"> it has to be checked whether the mixture composition in the formulation is similar to the mixture composition at </w:t>
      </w:r>
      <w:proofErr w:type="spellStart"/>
      <w:r w:rsidRPr="00573B58">
        <w:rPr>
          <w:highlight w:val="yellow"/>
          <w:lang w:val="en-GB"/>
        </w:rPr>
        <w:t>PEC</w:t>
      </w:r>
      <w:r w:rsidRPr="00573B58">
        <w:rPr>
          <w:highlight w:val="yellow"/>
          <w:vertAlign w:val="subscript"/>
          <w:lang w:val="en-GB"/>
        </w:rPr>
        <w:t>mix</w:t>
      </w:r>
      <w:proofErr w:type="spellEnd"/>
      <w:r w:rsidRPr="00573B58">
        <w:rPr>
          <w:highlight w:val="yellow"/>
          <w:lang w:val="en-GB"/>
        </w:rPr>
        <w:t xml:space="preserve"> (which is the sum of </w:t>
      </w:r>
      <w:proofErr w:type="spellStart"/>
      <w:r w:rsidRPr="00573B58">
        <w:rPr>
          <w:highlight w:val="yellow"/>
          <w:lang w:val="en-GB"/>
        </w:rPr>
        <w:t>PEC</w:t>
      </w:r>
      <w:r w:rsidRPr="00573B58">
        <w:rPr>
          <w:highlight w:val="yellow"/>
          <w:vertAlign w:val="subscript"/>
          <w:lang w:val="en-GB"/>
        </w:rPr>
        <w:t>i</w:t>
      </w:r>
      <w:proofErr w:type="spellEnd"/>
      <w:r w:rsidRPr="00573B58">
        <w:rPr>
          <w:highlight w:val="yellow"/>
          <w:lang w:val="en-GB"/>
        </w:rPr>
        <w:t xml:space="preserve"> of individual active substances). However, a </w:t>
      </w:r>
      <w:r w:rsidRPr="00573B58">
        <w:rPr>
          <w:highlight w:val="yellow"/>
        </w:rPr>
        <w:t xml:space="preserve">different assessment factor or additional data have been used in the </w:t>
      </w:r>
      <w:proofErr w:type="spellStart"/>
      <w:r w:rsidRPr="00573B58">
        <w:rPr>
          <w:highlight w:val="yellow"/>
        </w:rPr>
        <w:t>a.s.</w:t>
      </w:r>
      <w:proofErr w:type="spellEnd"/>
      <w:r w:rsidRPr="00573B58">
        <w:rPr>
          <w:highlight w:val="yellow"/>
        </w:rPr>
        <w:t xml:space="preserve"> assessment. Therefore, it is not appropriate to use product data and not necessary to apply Step 3.</w:t>
      </w:r>
    </w:p>
    <w:p w14:paraId="39237D73" w14:textId="77777777" w:rsidR="00532E79" w:rsidRPr="00426ADB" w:rsidRDefault="00532E79" w:rsidP="00532E79">
      <w:pPr>
        <w:pStyle w:val="RepStandard"/>
        <w:spacing w:before="120" w:after="120"/>
        <w:rPr>
          <w:b/>
          <w:highlight w:val="yellow"/>
          <w:lang w:val="en-US"/>
        </w:rPr>
      </w:pPr>
      <w:r w:rsidRPr="00426ADB">
        <w:rPr>
          <w:b/>
          <w:highlight w:val="yellow"/>
          <w:lang w:val="en-US"/>
        </w:rPr>
        <w:t>Conclusion:</w:t>
      </w:r>
    </w:p>
    <w:p w14:paraId="21906F2F" w14:textId="77777777" w:rsidR="00532E79" w:rsidRPr="00573B58" w:rsidRDefault="00532E79" w:rsidP="00532E79">
      <w:pPr>
        <w:widowControl w:val="0"/>
        <w:spacing w:before="120" w:after="120"/>
        <w:jc w:val="both"/>
        <w:rPr>
          <w:b/>
        </w:rPr>
      </w:pPr>
      <w:r w:rsidRPr="00426ADB">
        <w:rPr>
          <w:highlight w:val="yellow"/>
        </w:rPr>
        <w:sym w:font="Wingdings" w:char="F0E0"/>
      </w:r>
      <w:r w:rsidRPr="00426ADB">
        <w:rPr>
          <w:highlight w:val="yellow"/>
        </w:rPr>
        <w:t xml:space="preserve"> </w:t>
      </w:r>
      <w:r w:rsidRPr="00573B58">
        <w:rPr>
          <w:highlight w:val="yellow"/>
        </w:rPr>
        <w:t xml:space="preserve">Go </w:t>
      </w:r>
      <w:r>
        <w:rPr>
          <w:highlight w:val="yellow"/>
        </w:rPr>
        <w:t xml:space="preserve">directly </w:t>
      </w:r>
      <w:r w:rsidRPr="00573B58">
        <w:rPr>
          <w:highlight w:val="yellow"/>
        </w:rPr>
        <w:t xml:space="preserve">to </w:t>
      </w:r>
      <w:r w:rsidRPr="00573B58">
        <w:rPr>
          <w:highlight w:val="yellow"/>
          <w:shd w:val="clear" w:color="auto" w:fill="CCFFFF"/>
        </w:rPr>
        <w:t>Step 8</w:t>
      </w:r>
      <w:r w:rsidRPr="00573B58">
        <w:rPr>
          <w:highlight w:val="yellow"/>
        </w:rPr>
        <w:t xml:space="preserve"> for fish/invertebrates/algae/macrophytes (even if mixture is similar, Step 3 is not possible / reasonable).</w:t>
      </w:r>
    </w:p>
    <w:p w14:paraId="1EFB4330" w14:textId="3076C90E" w:rsidR="005333E9" w:rsidRPr="00D017F3" w:rsidRDefault="005333E9" w:rsidP="00BB2333">
      <w:pPr>
        <w:spacing w:before="120" w:after="120" w:line="259" w:lineRule="auto"/>
        <w:jc w:val="both"/>
      </w:pPr>
      <w:r w:rsidRPr="00D017F3">
        <w:rPr>
          <w:b/>
        </w:rPr>
        <w:t>Step 5</w:t>
      </w:r>
      <w:r w:rsidR="00731D5C">
        <w:rPr>
          <w:b/>
        </w:rPr>
        <w:t>:</w:t>
      </w:r>
      <w:r w:rsidRPr="00D017F3">
        <w:t xml:space="preserve"> </w:t>
      </w:r>
      <w:r>
        <w:t>D</w:t>
      </w:r>
      <w:r w:rsidRPr="00D017F3">
        <w:t xml:space="preserve">river </w:t>
      </w:r>
      <w:r w:rsidR="00731D5C">
        <w:t>detection</w:t>
      </w:r>
    </w:p>
    <w:p w14:paraId="2E30BB3F" w14:textId="0E0A57BE" w:rsidR="007D5011" w:rsidRDefault="005333E9" w:rsidP="001E6D95">
      <w:pPr>
        <w:pStyle w:val="RepStandard"/>
        <w:pBdr>
          <w:top w:val="single" w:sz="4" w:space="1" w:color="auto" w:shadow="1"/>
          <w:left w:val="single" w:sz="4" w:space="4" w:color="auto" w:shadow="1"/>
          <w:bottom w:val="single" w:sz="4" w:space="1" w:color="auto" w:shadow="1"/>
          <w:right w:val="single" w:sz="4" w:space="4" w:color="auto" w:shadow="1"/>
        </w:pBdr>
        <w:shd w:val="clear" w:color="auto" w:fill="CCFFFF"/>
        <w:spacing w:before="120" w:after="120"/>
        <w:rPr>
          <w:b/>
          <w:shd w:val="clear" w:color="auto" w:fill="CCFFFF"/>
          <w:lang w:val="en-US"/>
        </w:rPr>
      </w:pPr>
      <w:r w:rsidRPr="00B123D2">
        <w:rPr>
          <w:shd w:val="clear" w:color="auto" w:fill="CCFFFF"/>
          <w:lang w:val="en-US"/>
        </w:rPr>
        <w:t xml:space="preserve">In </w:t>
      </w:r>
      <w:r w:rsidR="001E6D95">
        <w:rPr>
          <w:shd w:val="clear" w:color="auto" w:fill="CCFFFF"/>
          <w:lang w:val="en-US"/>
        </w:rPr>
        <w:t>S</w:t>
      </w:r>
      <w:r w:rsidRPr="00B123D2">
        <w:rPr>
          <w:shd w:val="clear" w:color="auto" w:fill="CCFFFF"/>
          <w:lang w:val="en-US"/>
        </w:rPr>
        <w:t>tep</w:t>
      </w:r>
      <w:r w:rsidR="001E6D95">
        <w:rPr>
          <w:shd w:val="clear" w:color="auto" w:fill="CCFFFF"/>
          <w:lang w:val="en-US"/>
        </w:rPr>
        <w:t xml:space="preserve"> 5</w:t>
      </w:r>
      <w:r w:rsidR="00534C00">
        <w:rPr>
          <w:shd w:val="clear" w:color="auto" w:fill="CCFFFF"/>
          <w:lang w:val="en-US"/>
        </w:rPr>
        <w:t xml:space="preserve"> </w:t>
      </w:r>
      <w:r w:rsidR="00534C00">
        <w:rPr>
          <w:lang w:val="en-US"/>
        </w:rPr>
        <w:t xml:space="preserve">(also an </w:t>
      </w:r>
      <w:r w:rsidR="00534C00" w:rsidRPr="001E0425">
        <w:t>„in-between” step</w:t>
      </w:r>
      <w:r w:rsidR="00534C00">
        <w:t>)</w:t>
      </w:r>
      <w:r w:rsidRPr="00B123D2">
        <w:rPr>
          <w:shd w:val="clear" w:color="auto" w:fill="CCFFFF"/>
          <w:lang w:val="en-US"/>
        </w:rPr>
        <w:t xml:space="preserve"> toxic units (TUs) and sum of TUs are calculated </w:t>
      </w:r>
      <w:r w:rsidR="001E6D95">
        <w:rPr>
          <w:shd w:val="clear" w:color="auto" w:fill="CCFFFF"/>
          <w:lang w:val="en-US"/>
        </w:rPr>
        <w:t xml:space="preserve">to determine if one substance can be considered a driver concerning a particular FOCUS Scenario. </w:t>
      </w:r>
      <w:r w:rsidR="001E6D95">
        <w:rPr>
          <w:lang w:val="en-US"/>
        </w:rPr>
        <w:t xml:space="preserve">The calculation details can be found in the calculation tool </w:t>
      </w:r>
      <w:r w:rsidR="001E6D95" w:rsidRPr="00F7790D">
        <w:rPr>
          <w:shd w:val="clear" w:color="auto" w:fill="CCFFFF"/>
          <w:lang w:val="en-US"/>
        </w:rPr>
        <w:t>“</w:t>
      </w:r>
      <w:proofErr w:type="spellStart"/>
      <w:r w:rsidR="001E6D95" w:rsidRPr="00F7790D">
        <w:rPr>
          <w:shd w:val="clear" w:color="auto" w:fill="CCFFFF"/>
          <w:lang w:val="en-US"/>
        </w:rPr>
        <w:t>AGD_AquaMix</w:t>
      </w:r>
      <w:proofErr w:type="spellEnd"/>
      <w:r w:rsidR="001E6D95" w:rsidRPr="00F7790D">
        <w:rPr>
          <w:shd w:val="clear" w:color="auto" w:fill="CCFFFF"/>
          <w:lang w:val="en-US"/>
        </w:rPr>
        <w:t>”</w:t>
      </w:r>
      <w:r w:rsidR="001E6D95">
        <w:rPr>
          <w:shd w:val="clear" w:color="auto" w:fill="CCFFFF"/>
          <w:lang w:val="en-US"/>
        </w:rPr>
        <w:t xml:space="preserve"> (sheet Step 5) and are not repeated here.</w:t>
      </w:r>
    </w:p>
    <w:p w14:paraId="70A05060" w14:textId="3FFB42AF" w:rsidR="005333E9" w:rsidRPr="00B123D2" w:rsidRDefault="005333E9" w:rsidP="00BB2333">
      <w:pPr>
        <w:pStyle w:val="RepStandard"/>
        <w:pBdr>
          <w:top w:val="single" w:sz="4" w:space="1" w:color="auto" w:shadow="1"/>
          <w:left w:val="single" w:sz="4" w:space="4" w:color="auto" w:shadow="1"/>
          <w:bottom w:val="single" w:sz="4" w:space="1" w:color="auto" w:shadow="1"/>
          <w:right w:val="single" w:sz="4" w:space="4" w:color="auto" w:shadow="1"/>
        </w:pBdr>
        <w:shd w:val="clear" w:color="auto" w:fill="CCFFFF"/>
        <w:spacing w:before="120" w:after="120"/>
        <w:rPr>
          <w:shd w:val="clear" w:color="auto" w:fill="CCFFFF"/>
          <w:lang w:val="en-US"/>
        </w:rPr>
      </w:pPr>
      <w:r w:rsidRPr="00B123D2">
        <w:rPr>
          <w:shd w:val="clear" w:color="auto" w:fill="CCFFFF"/>
          <w:lang w:val="en-US"/>
        </w:rPr>
        <w:t xml:space="preserve">However, </w:t>
      </w:r>
      <w:r w:rsidR="00041ED8">
        <w:rPr>
          <w:shd w:val="clear" w:color="auto" w:fill="CCFFFF"/>
          <w:lang w:val="en-US"/>
        </w:rPr>
        <w:t xml:space="preserve">mind that it might be possible to skip </w:t>
      </w:r>
      <w:r w:rsidRPr="001E6D95">
        <w:rPr>
          <w:shd w:val="clear" w:color="auto" w:fill="CCFFFF"/>
          <w:lang w:val="en-US"/>
        </w:rPr>
        <w:t>TU calculation</w:t>
      </w:r>
      <w:r w:rsidR="00041ED8">
        <w:rPr>
          <w:shd w:val="clear" w:color="auto" w:fill="CCFFFF"/>
          <w:lang w:val="en-US"/>
        </w:rPr>
        <w:t>s</w:t>
      </w:r>
      <w:r w:rsidRPr="001E6D95">
        <w:rPr>
          <w:shd w:val="clear" w:color="auto" w:fill="CCFFFF"/>
          <w:lang w:val="en-US"/>
        </w:rPr>
        <w:t xml:space="preserve"> </w:t>
      </w:r>
      <w:r w:rsidR="00041ED8">
        <w:rPr>
          <w:shd w:val="clear" w:color="auto" w:fill="CCFFFF"/>
          <w:lang w:val="en-US"/>
        </w:rPr>
        <w:t>and</w:t>
      </w:r>
      <w:r w:rsidRPr="001E6D95">
        <w:rPr>
          <w:shd w:val="clear" w:color="auto" w:fill="CCFFFF"/>
          <w:lang w:val="en-US"/>
        </w:rPr>
        <w:t xml:space="preserve"> go directly to</w:t>
      </w:r>
      <w:r w:rsidR="007D5011" w:rsidRPr="001E6D95">
        <w:rPr>
          <w:shd w:val="clear" w:color="auto" w:fill="CCFFFF"/>
          <w:lang w:val="en-US"/>
        </w:rPr>
        <w:t xml:space="preserve"> Step</w:t>
      </w:r>
      <w:r w:rsidRPr="001E6D95">
        <w:rPr>
          <w:shd w:val="clear" w:color="auto" w:fill="CCFFFF"/>
          <w:lang w:val="en-US"/>
        </w:rPr>
        <w:t xml:space="preserve"> 8</w:t>
      </w:r>
      <w:r w:rsidRPr="00B123D2">
        <w:rPr>
          <w:shd w:val="clear" w:color="auto" w:fill="CCFFFF"/>
          <w:lang w:val="en-US"/>
        </w:rPr>
        <w:t xml:space="preserve">. Step 8 includes the toxicity of the driver and the toxicity of other substances and, thus, always </w:t>
      </w:r>
      <w:r w:rsidR="00041ED8" w:rsidRPr="00B123D2">
        <w:rPr>
          <w:shd w:val="clear" w:color="auto" w:fill="CCFFFF"/>
          <w:lang w:val="en-US"/>
        </w:rPr>
        <w:t xml:space="preserve">leads </w:t>
      </w:r>
      <w:r w:rsidRPr="00B123D2">
        <w:rPr>
          <w:shd w:val="clear" w:color="auto" w:fill="CCFFFF"/>
          <w:lang w:val="en-US"/>
        </w:rPr>
        <w:t>to more conservative ETR</w:t>
      </w:r>
      <w:r w:rsidR="007D5011">
        <w:rPr>
          <w:shd w:val="clear" w:color="auto" w:fill="CCFFFF"/>
          <w:lang w:val="en-US"/>
        </w:rPr>
        <w:t xml:space="preserve"> </w:t>
      </w:r>
      <w:r w:rsidRPr="00B123D2">
        <w:rPr>
          <w:shd w:val="clear" w:color="auto" w:fill="CCFFFF"/>
          <w:lang w:val="en-US"/>
        </w:rPr>
        <w:t>/</w:t>
      </w:r>
      <w:r w:rsidR="007D5011">
        <w:rPr>
          <w:shd w:val="clear" w:color="auto" w:fill="CCFFFF"/>
          <w:lang w:val="en-US"/>
        </w:rPr>
        <w:t xml:space="preserve"> </w:t>
      </w:r>
      <w:proofErr w:type="spellStart"/>
      <w:r w:rsidRPr="00B123D2">
        <w:rPr>
          <w:shd w:val="clear" w:color="auto" w:fill="CCFFFF"/>
          <w:lang w:val="en-US"/>
        </w:rPr>
        <w:t>RQ</w:t>
      </w:r>
      <w:r w:rsidR="00433F6A" w:rsidRPr="00433F6A">
        <w:rPr>
          <w:shd w:val="clear" w:color="auto" w:fill="CCFFFF"/>
          <w:vertAlign w:val="subscript"/>
          <w:lang w:val="en-US"/>
        </w:rPr>
        <w:t>mix</w:t>
      </w:r>
      <w:proofErr w:type="spellEnd"/>
      <w:r w:rsidRPr="00B123D2">
        <w:rPr>
          <w:shd w:val="clear" w:color="auto" w:fill="CCFFFF"/>
          <w:lang w:val="en-US"/>
        </w:rPr>
        <w:t xml:space="preserve">-values for mathematical reasons. This </w:t>
      </w:r>
      <w:r w:rsidR="00041ED8">
        <w:rPr>
          <w:shd w:val="clear" w:color="auto" w:fill="CCFFFF"/>
          <w:lang w:val="en-US"/>
        </w:rPr>
        <w:t>can be</w:t>
      </w:r>
      <w:r w:rsidRPr="00B123D2">
        <w:rPr>
          <w:shd w:val="clear" w:color="auto" w:fill="CCFFFF"/>
          <w:lang w:val="en-US"/>
        </w:rPr>
        <w:t xml:space="preserve"> of importance if</w:t>
      </w:r>
      <w:r w:rsidR="00041ED8">
        <w:rPr>
          <w:shd w:val="clear" w:color="auto" w:fill="CCFFFF"/>
          <w:lang w:val="en-US"/>
        </w:rPr>
        <w:t xml:space="preserve"> e.g.</w:t>
      </w:r>
      <w:r w:rsidRPr="00B123D2">
        <w:rPr>
          <w:shd w:val="clear" w:color="auto" w:fill="CCFFFF"/>
          <w:lang w:val="en-US"/>
        </w:rPr>
        <w:t xml:space="preserve"> sensitive species</w:t>
      </w:r>
      <w:r w:rsidR="00041ED8">
        <w:rPr>
          <w:shd w:val="clear" w:color="auto" w:fill="CCFFFF"/>
          <w:lang w:val="en-US"/>
        </w:rPr>
        <w:t xml:space="preserve"> data</w:t>
      </w:r>
      <w:r w:rsidRPr="00B123D2">
        <w:rPr>
          <w:shd w:val="clear" w:color="auto" w:fill="CCFFFF"/>
          <w:lang w:val="en-US"/>
        </w:rPr>
        <w:t xml:space="preserve"> (other than species used in MDR calculations) are available and used in the assessment of the driver</w:t>
      </w:r>
      <w:r w:rsidR="00041ED8">
        <w:rPr>
          <w:shd w:val="clear" w:color="auto" w:fill="CCFFFF"/>
          <w:lang w:val="en-US"/>
        </w:rPr>
        <w:t xml:space="preserve"> and the driver assessment is</w:t>
      </w:r>
      <w:r w:rsidRPr="00B123D2">
        <w:rPr>
          <w:shd w:val="clear" w:color="auto" w:fill="CCFFFF"/>
          <w:lang w:val="en-US"/>
        </w:rPr>
        <w:t xml:space="preserve"> refined to a large extent, but data on fewer species are available for non-driver substances.</w:t>
      </w:r>
    </w:p>
    <w:p w14:paraId="4CB0D7EE" w14:textId="4EADBCC0" w:rsidR="007D5011" w:rsidRPr="007D5011" w:rsidRDefault="007D5011" w:rsidP="00BB2333">
      <w:pPr>
        <w:pStyle w:val="RepStandard"/>
        <w:pBdr>
          <w:top w:val="single" w:sz="4" w:space="1" w:color="auto" w:shadow="1"/>
          <w:left w:val="single" w:sz="4" w:space="4" w:color="auto" w:shadow="1"/>
          <w:bottom w:val="single" w:sz="4" w:space="1" w:color="auto" w:shadow="1"/>
          <w:right w:val="single" w:sz="4" w:space="4" w:color="auto" w:shadow="1"/>
        </w:pBdr>
        <w:shd w:val="clear" w:color="auto" w:fill="CCFFFF"/>
        <w:spacing w:before="120" w:after="120"/>
        <w:rPr>
          <w:shd w:val="clear" w:color="auto" w:fill="CCFFFF"/>
          <w:lang w:val="en-US"/>
        </w:rPr>
      </w:pPr>
      <w:r w:rsidRPr="00B123D2">
        <w:rPr>
          <w:shd w:val="clear" w:color="auto" w:fill="CCFFFF"/>
          <w:lang w:val="en-US"/>
        </w:rPr>
        <w:t xml:space="preserve">Note: In the frame of a revision of the AGD, the usefulness of this TU approach should be reconsidered. </w:t>
      </w:r>
      <w:r w:rsidR="00C96ED4" w:rsidRPr="00B123D2">
        <w:rPr>
          <w:shd w:val="clear" w:color="auto" w:fill="CCFFFF"/>
          <w:lang w:val="en-US"/>
        </w:rPr>
        <w:t xml:space="preserve">At this stage, it </w:t>
      </w:r>
      <w:r w:rsidR="00C96ED4">
        <w:rPr>
          <w:shd w:val="clear" w:color="auto" w:fill="CCFFFF"/>
          <w:lang w:val="en-US"/>
        </w:rPr>
        <w:t xml:space="preserve">is perceived as adding </w:t>
      </w:r>
      <w:r w:rsidR="00C96ED4" w:rsidRPr="00B123D2">
        <w:rPr>
          <w:shd w:val="clear" w:color="auto" w:fill="CCFFFF"/>
          <w:lang w:val="en-US"/>
        </w:rPr>
        <w:t xml:space="preserve">more complexity rather than facilitating the </w:t>
      </w:r>
      <w:proofErr w:type="spellStart"/>
      <w:r w:rsidR="00C96ED4" w:rsidRPr="00B123D2">
        <w:rPr>
          <w:shd w:val="clear" w:color="auto" w:fill="CCFFFF"/>
          <w:lang w:val="en-US"/>
        </w:rPr>
        <w:t>MixTox</w:t>
      </w:r>
      <w:proofErr w:type="spellEnd"/>
      <w:r w:rsidR="00C96ED4" w:rsidRPr="00B123D2">
        <w:rPr>
          <w:shd w:val="clear" w:color="auto" w:fill="CCFFFF"/>
          <w:lang w:val="en-US"/>
        </w:rPr>
        <w:t xml:space="preserve"> assessment (as initially intended</w:t>
      </w:r>
      <w:r w:rsidRPr="00B123D2">
        <w:rPr>
          <w:shd w:val="clear" w:color="auto" w:fill="CCFFFF"/>
          <w:lang w:val="en-US"/>
        </w:rPr>
        <w:t>).</w:t>
      </w:r>
      <w:r w:rsidR="00F11568">
        <w:rPr>
          <w:shd w:val="clear" w:color="auto" w:fill="CCFFFF"/>
          <w:lang w:val="en-US"/>
        </w:rPr>
        <w:t xml:space="preserve"> </w:t>
      </w:r>
      <w:r w:rsidR="00F11568" w:rsidRPr="00F11568">
        <w:rPr>
          <w:shd w:val="clear" w:color="auto" w:fill="CCFFFF"/>
          <w:lang w:val="en-US"/>
        </w:rPr>
        <w:t>However, since the TU</w:t>
      </w:r>
      <w:r w:rsidR="00F11568">
        <w:rPr>
          <w:shd w:val="clear" w:color="auto" w:fill="CCFFFF"/>
          <w:lang w:val="en-US"/>
        </w:rPr>
        <w:t xml:space="preserve"> approach</w:t>
      </w:r>
      <w:r w:rsidR="00F11568" w:rsidRPr="00F11568">
        <w:rPr>
          <w:shd w:val="clear" w:color="auto" w:fill="CCFFFF"/>
          <w:lang w:val="en-US"/>
        </w:rPr>
        <w:t xml:space="preserve"> is currently included in the AGD </w:t>
      </w:r>
      <w:r w:rsidR="00F11568">
        <w:rPr>
          <w:shd w:val="clear" w:color="auto" w:fill="CCFFFF"/>
          <w:lang w:val="en-US"/>
        </w:rPr>
        <w:t>it</w:t>
      </w:r>
      <w:r w:rsidR="00F11568" w:rsidRPr="00F11568">
        <w:rPr>
          <w:shd w:val="clear" w:color="auto" w:fill="CCFFFF"/>
          <w:lang w:val="en-US"/>
        </w:rPr>
        <w:t xml:space="preserve"> </w:t>
      </w:r>
      <w:r w:rsidR="008D3BDA">
        <w:rPr>
          <w:shd w:val="clear" w:color="auto" w:fill="CCFFFF"/>
          <w:lang w:val="en-US"/>
        </w:rPr>
        <w:t>has to be</w:t>
      </w:r>
      <w:r w:rsidR="00F11568" w:rsidRPr="00F11568">
        <w:rPr>
          <w:shd w:val="clear" w:color="auto" w:fill="CCFFFF"/>
          <w:lang w:val="en-US"/>
        </w:rPr>
        <w:t xml:space="preserve"> retained for the time being in th</w:t>
      </w:r>
      <w:r w:rsidR="008D3BDA">
        <w:rPr>
          <w:shd w:val="clear" w:color="auto" w:fill="CCFFFF"/>
          <w:lang w:val="en-US"/>
        </w:rPr>
        <w:t>is</w:t>
      </w:r>
      <w:r w:rsidR="00F11568" w:rsidRPr="00F11568">
        <w:rPr>
          <w:shd w:val="clear" w:color="auto" w:fill="CCFFFF"/>
          <w:lang w:val="en-US"/>
        </w:rPr>
        <w:t xml:space="preserve"> </w:t>
      </w:r>
      <w:r w:rsidR="008D3BDA">
        <w:rPr>
          <w:shd w:val="clear" w:color="auto" w:fill="CCFFFF"/>
          <w:lang w:val="en-US"/>
        </w:rPr>
        <w:t>mixture risk</w:t>
      </w:r>
      <w:r w:rsidR="00F11568" w:rsidRPr="00F11568">
        <w:rPr>
          <w:shd w:val="clear" w:color="auto" w:fill="CCFFFF"/>
          <w:lang w:val="en-US"/>
        </w:rPr>
        <w:t xml:space="preserve"> assessment.</w:t>
      </w:r>
    </w:p>
    <w:p w14:paraId="48FD969E" w14:textId="5EC60A55" w:rsidR="00F7790D" w:rsidRPr="00F7790D" w:rsidRDefault="00F7790D" w:rsidP="00F7790D">
      <w:pPr>
        <w:widowControl w:val="0"/>
        <w:spacing w:before="120" w:after="120"/>
        <w:jc w:val="both"/>
        <w:rPr>
          <w:highlight w:val="yellow"/>
          <w:lang w:val="en-GB"/>
        </w:rPr>
      </w:pPr>
      <w:r w:rsidRPr="00F7790D">
        <w:rPr>
          <w:lang w:val="en-GB"/>
        </w:rPr>
        <w:t>The decision how the mixture risk assessment is conducted depends on the organism group as well as the assessed FOCUS Scenarios.</w:t>
      </w:r>
      <w:r w:rsidR="00A03776">
        <w:rPr>
          <w:lang w:val="en-GB"/>
        </w:rPr>
        <w:t xml:space="preserve"> The o</w:t>
      </w:r>
      <w:r w:rsidRPr="00F7790D">
        <w:rPr>
          <w:lang w:val="en-GB"/>
        </w:rPr>
        <w:t xml:space="preserve">verall mixture risk assessment results are given in </w:t>
      </w:r>
      <w:r w:rsidRPr="00F7790D">
        <w:rPr>
          <w:lang w:val="en-GB"/>
        </w:rPr>
        <w:fldChar w:fldCharType="begin"/>
      </w:r>
      <w:r w:rsidRPr="00F7790D">
        <w:rPr>
          <w:lang w:val="en-GB"/>
        </w:rPr>
        <w:instrText xml:space="preserve"> REF _Ref37772002 \h  \* MERGEFORMAT </w:instrText>
      </w:r>
      <w:r w:rsidRPr="00F7790D">
        <w:rPr>
          <w:lang w:val="en-GB"/>
        </w:rPr>
      </w:r>
      <w:r w:rsidRPr="00F7790D">
        <w:rPr>
          <w:lang w:val="en-GB"/>
        </w:rPr>
        <w:fldChar w:fldCharType="separate"/>
      </w:r>
      <w:r w:rsidR="00EE5667" w:rsidRPr="005F2574">
        <w:t xml:space="preserve">Table </w:t>
      </w:r>
      <w:r w:rsidR="00EE5667">
        <w:rPr>
          <w:noProof/>
        </w:rPr>
        <w:t>9.5.2.2</w:t>
      </w:r>
      <w:r w:rsidR="00EE5667" w:rsidRPr="005F2574">
        <w:rPr>
          <w:noProof/>
        </w:rPr>
        <w:noBreakHyphen/>
      </w:r>
      <w:r w:rsidR="00EE5667">
        <w:rPr>
          <w:noProof/>
        </w:rPr>
        <w:t>3</w:t>
      </w:r>
      <w:r w:rsidRPr="00F7790D">
        <w:rPr>
          <w:lang w:val="en-GB"/>
        </w:rPr>
        <w:fldChar w:fldCharType="end"/>
      </w:r>
      <w:r w:rsidRPr="00F7790D">
        <w:rPr>
          <w:lang w:val="en-GB"/>
        </w:rPr>
        <w:t xml:space="preserve">, in which it is documented if a driver of risk is available according to Step 5. </w:t>
      </w:r>
      <w:r w:rsidRPr="00F7790D">
        <w:t xml:space="preserve">Further in-depth justification and explanation are documented in </w:t>
      </w:r>
      <w:r w:rsidRPr="00F7790D">
        <w:rPr>
          <w:highlight w:val="yellow"/>
        </w:rPr>
        <w:t xml:space="preserve">the attached </w:t>
      </w:r>
      <w:r w:rsidR="00A03776">
        <w:rPr>
          <w:highlight w:val="yellow"/>
        </w:rPr>
        <w:t>mixture risk calculation</w:t>
      </w:r>
      <w:r w:rsidR="00A03776" w:rsidRPr="00F7790D">
        <w:rPr>
          <w:highlight w:val="yellow"/>
        </w:rPr>
        <w:t xml:space="preserve"> </w:t>
      </w:r>
      <w:r w:rsidR="00534C00">
        <w:rPr>
          <w:highlight w:val="yellow"/>
        </w:rPr>
        <w:t>file</w:t>
      </w:r>
      <w:r w:rsidRPr="00F7790D">
        <w:rPr>
          <w:highlight w:val="yellow"/>
        </w:rPr>
        <w:t xml:space="preserve"> / Appendix XXX.</w:t>
      </w:r>
      <w:r w:rsidR="00534C00">
        <w:rPr>
          <w:highlight w:val="yellow"/>
        </w:rPr>
        <w:t xml:space="preserve"> </w:t>
      </w:r>
      <w:r w:rsidR="00534C00" w:rsidRPr="00534C00">
        <w:t xml:space="preserve">Further information for </w:t>
      </w:r>
      <w:r w:rsidR="00534C00">
        <w:t xml:space="preserve">the availability of a driver for the risk assessment of </w:t>
      </w:r>
      <w:r w:rsidR="00534C00" w:rsidRPr="00534C00">
        <w:t xml:space="preserve">particular FOCUS Scenarios is given in </w:t>
      </w:r>
      <w:r w:rsidR="00534C00" w:rsidRPr="008406B2">
        <w:fldChar w:fldCharType="begin"/>
      </w:r>
      <w:r w:rsidR="00534C00" w:rsidRPr="008406B2">
        <w:instrText xml:space="preserve"> REF _Ref37772002 \h </w:instrText>
      </w:r>
      <w:r w:rsidR="00534C00">
        <w:instrText xml:space="preserve"> \* MERGEFORMAT </w:instrText>
      </w:r>
      <w:r w:rsidR="00534C00" w:rsidRPr="008406B2">
        <w:fldChar w:fldCharType="separate"/>
      </w:r>
      <w:r w:rsidR="00EE5667" w:rsidRPr="005F2574">
        <w:t xml:space="preserve">Table </w:t>
      </w:r>
      <w:r w:rsidR="00EE5667">
        <w:rPr>
          <w:noProof/>
        </w:rPr>
        <w:t>9.5.2.2</w:t>
      </w:r>
      <w:r w:rsidR="00EE5667" w:rsidRPr="005F2574">
        <w:rPr>
          <w:noProof/>
        </w:rPr>
        <w:noBreakHyphen/>
      </w:r>
      <w:r w:rsidR="00EE5667">
        <w:rPr>
          <w:noProof/>
        </w:rPr>
        <w:t>3</w:t>
      </w:r>
      <w:r w:rsidR="00534C00" w:rsidRPr="008406B2">
        <w:fldChar w:fldCharType="end"/>
      </w:r>
      <w:r w:rsidR="00534C00" w:rsidRPr="008406B2">
        <w:t xml:space="preserve"> (FOCUS Step 1 – 3) </w:t>
      </w:r>
      <w:r w:rsidR="00534C00">
        <w:rPr>
          <w:highlight w:val="yellow"/>
        </w:rPr>
        <w:t>and</w:t>
      </w:r>
      <w:r w:rsidR="00534C00" w:rsidRPr="003F6DDE">
        <w:rPr>
          <w:highlight w:val="yellow"/>
        </w:rPr>
        <w:t xml:space="preserve"> </w:t>
      </w:r>
      <w:r w:rsidR="00534C00" w:rsidRPr="003F6DDE">
        <w:rPr>
          <w:highlight w:val="yellow"/>
        </w:rPr>
        <w:fldChar w:fldCharType="begin"/>
      </w:r>
      <w:r w:rsidR="00534C00" w:rsidRPr="003F6DDE">
        <w:rPr>
          <w:highlight w:val="yellow"/>
        </w:rPr>
        <w:instrText xml:space="preserve"> REF _Ref37772009 \h  \* MERGEFORMAT </w:instrText>
      </w:r>
      <w:r w:rsidR="00534C00" w:rsidRPr="003F6DDE">
        <w:rPr>
          <w:highlight w:val="yellow"/>
        </w:rPr>
      </w:r>
      <w:r w:rsidR="00534C00" w:rsidRPr="003F6DDE">
        <w:rPr>
          <w:highlight w:val="yellow"/>
        </w:rPr>
        <w:fldChar w:fldCharType="separate"/>
      </w:r>
      <w:r w:rsidR="00EE5667" w:rsidRPr="00EE5667">
        <w:rPr>
          <w:highlight w:val="yellow"/>
        </w:rPr>
        <w:t xml:space="preserve">Table </w:t>
      </w:r>
      <w:r w:rsidR="00EE5667" w:rsidRPr="00EE5667">
        <w:rPr>
          <w:noProof/>
          <w:highlight w:val="yellow"/>
        </w:rPr>
        <w:t>9.5.2.2</w:t>
      </w:r>
      <w:r w:rsidR="00EE5667" w:rsidRPr="00EE5667">
        <w:rPr>
          <w:noProof/>
          <w:highlight w:val="yellow"/>
        </w:rPr>
        <w:noBreakHyphen/>
        <w:t>4</w:t>
      </w:r>
      <w:r w:rsidR="00534C00" w:rsidRPr="003F6DDE">
        <w:rPr>
          <w:highlight w:val="yellow"/>
        </w:rPr>
        <w:fldChar w:fldCharType="end"/>
      </w:r>
      <w:r w:rsidR="00534C00" w:rsidRPr="003F6DDE">
        <w:rPr>
          <w:highlight w:val="yellow"/>
        </w:rPr>
        <w:t xml:space="preserve"> (FOCUS Step 4)</w:t>
      </w:r>
      <w:r w:rsidR="00534C00">
        <w:t xml:space="preserve"> below.</w:t>
      </w:r>
    </w:p>
    <w:p w14:paraId="7E9ED3C8" w14:textId="51D5535B" w:rsidR="005333E9" w:rsidRDefault="005333E9" w:rsidP="00AA2133">
      <w:pPr>
        <w:widowControl w:val="0"/>
        <w:spacing w:before="120" w:after="120"/>
        <w:jc w:val="both"/>
        <w:rPr>
          <w:b/>
        </w:rPr>
      </w:pPr>
      <w:r>
        <w:rPr>
          <w:b/>
        </w:rPr>
        <w:t>Step 4 and Step 8</w:t>
      </w:r>
      <w:r w:rsidRPr="003F6DDE">
        <w:rPr>
          <w:b/>
          <w:highlight w:val="yellow"/>
        </w:rPr>
        <w:t>a/b</w:t>
      </w:r>
      <w:r w:rsidR="003F6DDE">
        <w:rPr>
          <w:b/>
        </w:rPr>
        <w:t>:</w:t>
      </w:r>
      <w:r>
        <w:rPr>
          <w:b/>
        </w:rPr>
        <w:t xml:space="preserve"> </w:t>
      </w:r>
      <w:r>
        <w:t>M</w:t>
      </w:r>
      <w:r w:rsidRPr="009F20B8">
        <w:t>ixture risk assessment</w:t>
      </w:r>
      <w:r>
        <w:t xml:space="preserve"> based on measured </w:t>
      </w:r>
      <w:r w:rsidRPr="009F20B8">
        <w:rPr>
          <w:highlight w:val="yellow"/>
        </w:rPr>
        <w:t>and/or</w:t>
      </w:r>
      <w:r>
        <w:t xml:space="preserve"> calculated mixture toxicity</w:t>
      </w:r>
    </w:p>
    <w:p w14:paraId="00CFDFF0" w14:textId="5ECA2617" w:rsidR="00222384" w:rsidRDefault="00222384" w:rsidP="00222384">
      <w:pPr>
        <w:pStyle w:val="RepStandard"/>
        <w:pBdr>
          <w:top w:val="single" w:sz="4" w:space="1" w:color="auto" w:shadow="1"/>
          <w:left w:val="single" w:sz="4" w:space="4" w:color="auto" w:shadow="1"/>
          <w:bottom w:val="single" w:sz="4" w:space="1" w:color="auto" w:shadow="1"/>
          <w:right w:val="single" w:sz="4" w:space="4" w:color="auto" w:shadow="1"/>
        </w:pBdr>
        <w:shd w:val="clear" w:color="auto" w:fill="CCFFFF"/>
        <w:spacing w:before="120" w:after="120"/>
        <w:rPr>
          <w:b/>
          <w:shd w:val="clear" w:color="auto" w:fill="CCFFFF"/>
          <w:lang w:val="en-US"/>
        </w:rPr>
      </w:pPr>
      <w:r w:rsidRPr="00B123D2">
        <w:rPr>
          <w:shd w:val="clear" w:color="auto" w:fill="CCFFFF"/>
          <w:lang w:val="en-US"/>
        </w:rPr>
        <w:t>In</w:t>
      </w:r>
      <w:r>
        <w:rPr>
          <w:shd w:val="clear" w:color="auto" w:fill="CCFFFF"/>
          <w:lang w:val="en-US"/>
        </w:rPr>
        <w:t xml:space="preserve"> these Steps</w:t>
      </w:r>
      <w:r w:rsidR="00A03776">
        <w:rPr>
          <w:shd w:val="clear" w:color="auto" w:fill="CCFFFF"/>
          <w:lang w:val="en-US"/>
        </w:rPr>
        <w:t xml:space="preserve"> (4 and 8 a/b)</w:t>
      </w:r>
      <w:r>
        <w:rPr>
          <w:shd w:val="clear" w:color="auto" w:fill="CCFFFF"/>
          <w:lang w:val="en-US"/>
        </w:rPr>
        <w:t xml:space="preserve"> the final conclusions on the risk assessment are given.</w:t>
      </w:r>
      <w:r w:rsidRPr="00B123D2">
        <w:rPr>
          <w:shd w:val="clear" w:color="auto" w:fill="CCFFFF"/>
          <w:lang w:val="en-US"/>
        </w:rPr>
        <w:t xml:space="preserve"> </w:t>
      </w:r>
      <w:r>
        <w:rPr>
          <w:lang w:val="en-US"/>
        </w:rPr>
        <w:t xml:space="preserve">The calculation details and further explanations can be found in the calculation tool </w:t>
      </w:r>
      <w:r w:rsidRPr="00F7790D">
        <w:rPr>
          <w:shd w:val="clear" w:color="auto" w:fill="CCFFFF"/>
          <w:lang w:val="en-US"/>
        </w:rPr>
        <w:t>“</w:t>
      </w:r>
      <w:proofErr w:type="spellStart"/>
      <w:r w:rsidRPr="00F7790D">
        <w:rPr>
          <w:shd w:val="clear" w:color="auto" w:fill="CCFFFF"/>
          <w:lang w:val="en-US"/>
        </w:rPr>
        <w:t>AGD_AquaMix</w:t>
      </w:r>
      <w:proofErr w:type="spellEnd"/>
      <w:r w:rsidRPr="00F7790D">
        <w:rPr>
          <w:shd w:val="clear" w:color="auto" w:fill="CCFFFF"/>
          <w:lang w:val="en-US"/>
        </w:rPr>
        <w:t>”</w:t>
      </w:r>
      <w:r>
        <w:rPr>
          <w:shd w:val="clear" w:color="auto" w:fill="CCFFFF"/>
          <w:lang w:val="en-US"/>
        </w:rPr>
        <w:t xml:space="preserve"> (sheet Step 4 and </w:t>
      </w:r>
      <w:r w:rsidR="00517EEC">
        <w:rPr>
          <w:shd w:val="clear" w:color="auto" w:fill="CCFFFF"/>
          <w:lang w:val="en-US"/>
        </w:rPr>
        <w:t>s</w:t>
      </w:r>
      <w:r>
        <w:rPr>
          <w:shd w:val="clear" w:color="auto" w:fill="CCFFFF"/>
          <w:lang w:val="en-US"/>
        </w:rPr>
        <w:t xml:space="preserve">heet Step 8) and are not repeated </w:t>
      </w:r>
      <w:r w:rsidR="00007ABC">
        <w:rPr>
          <w:shd w:val="clear" w:color="auto" w:fill="CCFFFF"/>
          <w:lang w:val="en-US"/>
        </w:rPr>
        <w:t>here</w:t>
      </w:r>
      <w:r>
        <w:rPr>
          <w:shd w:val="clear" w:color="auto" w:fill="CCFFFF"/>
          <w:lang w:val="en-US"/>
        </w:rPr>
        <w:t>.</w:t>
      </w:r>
    </w:p>
    <w:p w14:paraId="43FF1F4C" w14:textId="4ACFB56D" w:rsidR="003F6DDE" w:rsidRPr="003F6DDE" w:rsidRDefault="00A963A9" w:rsidP="008E23F0">
      <w:pPr>
        <w:widowControl w:val="0"/>
        <w:spacing w:before="120" w:after="120"/>
        <w:jc w:val="both"/>
      </w:pPr>
      <w:r>
        <w:t>Decision</w:t>
      </w:r>
      <w:r w:rsidR="00035FC4">
        <w:t>s</w:t>
      </w:r>
      <w:r>
        <w:t xml:space="preserve"> taken </w:t>
      </w:r>
      <w:r w:rsidR="00035FC4">
        <w:t>when using the</w:t>
      </w:r>
      <w:r w:rsidR="008E23F0" w:rsidRPr="00681BB2">
        <w:rPr>
          <w:lang w:val="en-GB"/>
        </w:rPr>
        <w:t xml:space="preserve"> scheme </w:t>
      </w:r>
      <w:r w:rsidR="008E23F0">
        <w:rPr>
          <w:lang w:val="en-GB"/>
        </w:rPr>
        <w:t>as</w:t>
      </w:r>
      <w:r w:rsidR="008E23F0" w:rsidRPr="00681BB2">
        <w:rPr>
          <w:lang w:val="en-GB"/>
        </w:rPr>
        <w:t xml:space="preserve"> provided </w:t>
      </w:r>
      <w:r w:rsidR="008E23F0">
        <w:rPr>
          <w:lang w:val="en-GB"/>
        </w:rPr>
        <w:t>by</w:t>
      </w:r>
      <w:r w:rsidR="008E23F0" w:rsidRPr="00681BB2">
        <w:rPr>
          <w:lang w:val="en-GB"/>
        </w:rPr>
        <w:t xml:space="preserve"> EFSA (2013, section 10.3.11)</w:t>
      </w:r>
      <w:r w:rsidR="008E23F0">
        <w:rPr>
          <w:lang w:val="en-GB"/>
        </w:rPr>
        <w:t xml:space="preserve"> lead to several assessment </w:t>
      </w:r>
      <w:r w:rsidR="008406B2">
        <w:rPr>
          <w:lang w:val="en-GB"/>
        </w:rPr>
        <w:t>s</w:t>
      </w:r>
      <w:r w:rsidR="008E23F0">
        <w:rPr>
          <w:lang w:val="en-GB"/>
        </w:rPr>
        <w:t xml:space="preserve">teps, which give a conclusion on the risk of a mixture </w:t>
      </w:r>
      <w:r w:rsidR="008406B2">
        <w:rPr>
          <w:lang w:val="en-GB"/>
        </w:rPr>
        <w:t xml:space="preserve">or </w:t>
      </w:r>
      <w:r w:rsidR="00035FC4">
        <w:rPr>
          <w:lang w:val="en-GB"/>
        </w:rPr>
        <w:t xml:space="preserve">provide </w:t>
      </w:r>
      <w:r w:rsidR="008E23F0">
        <w:rPr>
          <w:lang w:val="en-GB"/>
        </w:rPr>
        <w:t>additional information</w:t>
      </w:r>
      <w:r w:rsidR="008406B2">
        <w:rPr>
          <w:lang w:val="en-GB"/>
        </w:rPr>
        <w:t xml:space="preserve"> important for the assessment</w:t>
      </w:r>
      <w:r w:rsidR="008E23F0">
        <w:rPr>
          <w:lang w:val="en-GB"/>
        </w:rPr>
        <w:t xml:space="preserve">. </w:t>
      </w:r>
      <w:r w:rsidR="003F6DDE" w:rsidRPr="003F6DDE">
        <w:t>In the tables below</w:t>
      </w:r>
      <w:r w:rsidR="003F6DDE">
        <w:t xml:space="preserve"> th</w:t>
      </w:r>
      <w:r w:rsidR="003F6DDE" w:rsidRPr="003F6DDE">
        <w:t>e conclusions of different steps of the</w:t>
      </w:r>
      <w:r w:rsidR="008406B2">
        <w:t xml:space="preserve"> mixture</w:t>
      </w:r>
      <w:r w:rsidR="003F6DDE" w:rsidRPr="003F6DDE">
        <w:t xml:space="preserve"> risk assessment are summarized</w:t>
      </w:r>
      <w:r w:rsidR="008E23F0">
        <w:t xml:space="preserve"> for the </w:t>
      </w:r>
      <w:r w:rsidR="008E23F0" w:rsidRPr="008E23F0">
        <w:t>FOCUS Scenario</w:t>
      </w:r>
      <w:r w:rsidR="008E23F0">
        <w:t xml:space="preserve">s of concern. </w:t>
      </w:r>
      <w:r w:rsidR="003F6DDE" w:rsidRPr="003F6DDE">
        <w:t xml:space="preserve">Information is reported </w:t>
      </w:r>
      <w:r w:rsidR="008406B2">
        <w:t>on</w:t>
      </w:r>
      <w:r w:rsidR="008E23F0">
        <w:t>:</w:t>
      </w:r>
    </w:p>
    <w:p w14:paraId="2D607CC7" w14:textId="6F1F6C33" w:rsidR="003F6DDE" w:rsidRPr="003F6DDE" w:rsidRDefault="003F6DDE" w:rsidP="008E23F0">
      <w:pPr>
        <w:widowControl w:val="0"/>
        <w:numPr>
          <w:ilvl w:val="0"/>
          <w:numId w:val="4"/>
        </w:numPr>
        <w:spacing w:before="120" w:after="120"/>
        <w:contextualSpacing/>
        <w:jc w:val="both"/>
      </w:pPr>
      <w:r w:rsidRPr="003F6DDE">
        <w:t>Step 2</w:t>
      </w:r>
      <w:r w:rsidR="00C47667">
        <w:t xml:space="preserve"> and associated steps</w:t>
      </w:r>
      <w:r w:rsidR="008406B2">
        <w:t>,</w:t>
      </w:r>
      <w:r w:rsidRPr="003F6DDE">
        <w:t xml:space="preserve"> in which the question is answered if concentration addition can be assumed (i.e. a standard mixture toxicity risk assessment is appropriate) or if an antagonism/synergism is possible (more detailed information</w:t>
      </w:r>
      <w:r w:rsidR="008406B2">
        <w:t xml:space="preserve"> on Step 2</w:t>
      </w:r>
      <w:r w:rsidRPr="003F6DDE">
        <w:t xml:space="preserve"> is given above)</w:t>
      </w:r>
      <w:r w:rsidR="008406B2">
        <w:t>. This is important to derive if</w:t>
      </w:r>
      <w:r w:rsidRPr="003F6DDE">
        <w:t xml:space="preserve"> </w:t>
      </w:r>
      <w:r w:rsidR="008406B2">
        <w:t>further, specific</w:t>
      </w:r>
      <w:r w:rsidRPr="003F6DDE">
        <w:t xml:space="preserve"> considerations have to be made in the risk assessment.</w:t>
      </w:r>
      <w:r w:rsidR="00C47667">
        <w:t xml:space="preserve"> Associated steps are Step 7, Step 9 and Step 10.</w:t>
      </w:r>
    </w:p>
    <w:p w14:paraId="699FB3C9" w14:textId="47D0231D" w:rsidR="003F6DDE" w:rsidRPr="003F6DDE" w:rsidRDefault="003F6DDE" w:rsidP="00035FC4">
      <w:pPr>
        <w:widowControl w:val="0"/>
        <w:numPr>
          <w:ilvl w:val="0"/>
          <w:numId w:val="4"/>
        </w:numPr>
        <w:spacing w:before="120" w:after="120"/>
        <w:contextualSpacing/>
        <w:jc w:val="both"/>
      </w:pPr>
      <w:r w:rsidRPr="003F6DDE">
        <w:t>Step 5</w:t>
      </w:r>
      <w:r w:rsidR="008406B2">
        <w:t>,</w:t>
      </w:r>
      <w:r w:rsidRPr="003F6DDE">
        <w:t xml:space="preserve"> in which the question is answered if there is a driver </w:t>
      </w:r>
      <w:r w:rsidR="00035FC4">
        <w:t xml:space="preserve">of </w:t>
      </w:r>
      <w:r w:rsidR="00661566">
        <w:t>risk</w:t>
      </w:r>
      <w:r w:rsidR="00035FC4" w:rsidRPr="003F6DDE">
        <w:t xml:space="preserve"> </w:t>
      </w:r>
      <w:r w:rsidRPr="003F6DDE">
        <w:t xml:space="preserve">and </w:t>
      </w:r>
      <w:r w:rsidR="00035FC4">
        <w:t xml:space="preserve">if so, </w:t>
      </w:r>
      <w:r w:rsidRPr="003F6DDE">
        <w:t xml:space="preserve">which </w:t>
      </w:r>
      <w:r w:rsidR="00905205">
        <w:t xml:space="preserve">of the </w:t>
      </w:r>
      <w:r w:rsidRPr="003F6DDE">
        <w:t xml:space="preserve">substance </w:t>
      </w:r>
      <w:r w:rsidR="00905205">
        <w:t xml:space="preserve">can be classified </w:t>
      </w:r>
      <w:r w:rsidR="00661566">
        <w:t>as</w:t>
      </w:r>
      <w:r w:rsidRPr="003F6DDE">
        <w:t xml:space="preserve"> driver (more detailed information </w:t>
      </w:r>
      <w:r w:rsidR="008406B2">
        <w:t xml:space="preserve">on Step 5 </w:t>
      </w:r>
      <w:r w:rsidRPr="003F6DDE">
        <w:t xml:space="preserve">is given </w:t>
      </w:r>
      <w:r w:rsidR="00A03776" w:rsidRPr="00F7790D">
        <w:rPr>
          <w:highlight w:val="yellow"/>
        </w:rPr>
        <w:t xml:space="preserve">the attached </w:t>
      </w:r>
      <w:r w:rsidR="00A03776">
        <w:rPr>
          <w:highlight w:val="yellow"/>
        </w:rPr>
        <w:t>mixture risk calculation</w:t>
      </w:r>
      <w:r w:rsidR="00A03776" w:rsidRPr="00F7790D">
        <w:rPr>
          <w:highlight w:val="yellow"/>
        </w:rPr>
        <w:t xml:space="preserve"> </w:t>
      </w:r>
      <w:r w:rsidR="00661566">
        <w:rPr>
          <w:highlight w:val="yellow"/>
        </w:rPr>
        <w:t>file</w:t>
      </w:r>
      <w:r w:rsidR="00A03776" w:rsidRPr="00F7790D">
        <w:rPr>
          <w:highlight w:val="yellow"/>
        </w:rPr>
        <w:t xml:space="preserve"> / Appendix XXX</w:t>
      </w:r>
      <w:r w:rsidRPr="003F6DDE">
        <w:t xml:space="preserve">). This is </w:t>
      </w:r>
      <w:r w:rsidR="008406B2">
        <w:t>reported</w:t>
      </w:r>
      <w:r w:rsidRPr="003F6DDE">
        <w:t xml:space="preserve"> as additional information in case an assessment based on a driver would also be possible; for comparative reasons the table always lists the results from the mixture risk assessment according to Step</w:t>
      </w:r>
      <w:r w:rsidR="0064123C">
        <w:t> </w:t>
      </w:r>
      <w:r w:rsidRPr="003F6DDE">
        <w:t xml:space="preserve">4 and/or </w:t>
      </w:r>
      <w:r w:rsidR="002225F9">
        <w:t xml:space="preserve">Step </w:t>
      </w:r>
      <w:r w:rsidRPr="003F6DDE">
        <w:t xml:space="preserve">8. For an assessment based on a particular </w:t>
      </w:r>
      <w:proofErr w:type="spellStart"/>
      <w:r w:rsidRPr="003F6DDE">
        <w:t>a.s.</w:t>
      </w:r>
      <w:proofErr w:type="spellEnd"/>
      <w:r w:rsidRPr="003F6DDE">
        <w:t xml:space="preserve"> (the driver) please be referred to the individual </w:t>
      </w:r>
      <w:proofErr w:type="spellStart"/>
      <w:r w:rsidRPr="003F6DDE">
        <w:t>a.s.</w:t>
      </w:r>
      <w:proofErr w:type="spellEnd"/>
      <w:r w:rsidRPr="003F6DDE">
        <w:t xml:space="preserve"> risk assessment.</w:t>
      </w:r>
    </w:p>
    <w:p w14:paraId="2EC10987" w14:textId="678626E1" w:rsidR="003F6DDE" w:rsidRPr="003F6DDE" w:rsidRDefault="003F6DDE" w:rsidP="008E23F0">
      <w:pPr>
        <w:widowControl w:val="0"/>
        <w:numPr>
          <w:ilvl w:val="0"/>
          <w:numId w:val="4"/>
        </w:numPr>
        <w:spacing w:before="120" w:after="120"/>
        <w:contextualSpacing/>
        <w:jc w:val="both"/>
      </w:pPr>
      <w:r w:rsidRPr="003F6DDE">
        <w:t>Step 4 with the assessment results for cases where product data are usable (according to Step 3) and the risk assessment can be carried out based on the measured toxicity.</w:t>
      </w:r>
    </w:p>
    <w:p w14:paraId="3E973BE9" w14:textId="77777777" w:rsidR="003F6DDE" w:rsidRPr="003F6DDE" w:rsidRDefault="003F6DDE" w:rsidP="008E23F0">
      <w:pPr>
        <w:widowControl w:val="0"/>
        <w:numPr>
          <w:ilvl w:val="0"/>
          <w:numId w:val="4"/>
        </w:numPr>
        <w:spacing w:before="120" w:after="120"/>
        <w:ind w:left="1122" w:hanging="357"/>
        <w:jc w:val="both"/>
      </w:pPr>
      <w:r w:rsidRPr="003F6DDE">
        <w:t>Step 8 (a/b) with the assessment results for cases where product data are not usable (according to Step 3) and the risk assessment has to be based on calculated mixture toxicity.</w:t>
      </w:r>
    </w:p>
    <w:p w14:paraId="7E295C5F" w14:textId="43065C5F" w:rsidR="008D3BDA" w:rsidRDefault="003F6DDE" w:rsidP="008E23F0">
      <w:pPr>
        <w:widowControl w:val="0"/>
        <w:spacing w:before="120" w:after="120"/>
        <w:jc w:val="both"/>
        <w:rPr>
          <w:highlight w:val="yellow"/>
        </w:rPr>
      </w:pPr>
      <w:r w:rsidRPr="003F6DDE">
        <w:t xml:space="preserve">The respective assessment conclusions are presented in </w:t>
      </w:r>
      <w:r w:rsidRPr="008406B2">
        <w:fldChar w:fldCharType="begin"/>
      </w:r>
      <w:r w:rsidRPr="008406B2">
        <w:instrText xml:space="preserve"> REF _Ref37772002 \h </w:instrText>
      </w:r>
      <w:r w:rsidR="008406B2">
        <w:instrText xml:space="preserve"> \* MERGEFORMAT </w:instrText>
      </w:r>
      <w:r w:rsidRPr="008406B2">
        <w:fldChar w:fldCharType="separate"/>
      </w:r>
      <w:r w:rsidR="00EE5667" w:rsidRPr="005F2574">
        <w:t xml:space="preserve">Table </w:t>
      </w:r>
      <w:r w:rsidR="00EE5667">
        <w:rPr>
          <w:noProof/>
        </w:rPr>
        <w:t>9.5.2.2</w:t>
      </w:r>
      <w:r w:rsidR="00EE5667" w:rsidRPr="005F2574">
        <w:rPr>
          <w:noProof/>
        </w:rPr>
        <w:noBreakHyphen/>
      </w:r>
      <w:r w:rsidR="00EE5667">
        <w:rPr>
          <w:noProof/>
        </w:rPr>
        <w:t>3</w:t>
      </w:r>
      <w:r w:rsidRPr="008406B2">
        <w:fldChar w:fldCharType="end"/>
      </w:r>
      <w:r w:rsidRPr="008406B2">
        <w:t xml:space="preserve"> (FOCUS Step 1 – 3) </w:t>
      </w:r>
      <w:r w:rsidRPr="003F6DDE">
        <w:rPr>
          <w:highlight w:val="yellow"/>
        </w:rPr>
        <w:t xml:space="preserve">or </w:t>
      </w:r>
      <w:r w:rsidRPr="003F6DDE">
        <w:rPr>
          <w:highlight w:val="yellow"/>
        </w:rPr>
        <w:fldChar w:fldCharType="begin"/>
      </w:r>
      <w:r w:rsidRPr="003F6DDE">
        <w:rPr>
          <w:highlight w:val="yellow"/>
        </w:rPr>
        <w:instrText xml:space="preserve"> REF _Ref37772009 \h  \* MERGEFORMAT </w:instrText>
      </w:r>
      <w:r w:rsidRPr="003F6DDE">
        <w:rPr>
          <w:highlight w:val="yellow"/>
        </w:rPr>
      </w:r>
      <w:r w:rsidRPr="003F6DDE">
        <w:rPr>
          <w:highlight w:val="yellow"/>
        </w:rPr>
        <w:fldChar w:fldCharType="separate"/>
      </w:r>
      <w:r w:rsidR="00EE5667" w:rsidRPr="00EE5667">
        <w:rPr>
          <w:highlight w:val="yellow"/>
        </w:rPr>
        <w:t xml:space="preserve">Table </w:t>
      </w:r>
      <w:r w:rsidR="00EE5667" w:rsidRPr="00EE5667">
        <w:rPr>
          <w:noProof/>
          <w:highlight w:val="yellow"/>
        </w:rPr>
        <w:t>9.5.2.2</w:t>
      </w:r>
      <w:r w:rsidR="00EE5667" w:rsidRPr="00EE5667">
        <w:rPr>
          <w:noProof/>
          <w:highlight w:val="yellow"/>
        </w:rPr>
        <w:noBreakHyphen/>
        <w:t>4</w:t>
      </w:r>
      <w:r w:rsidRPr="003F6DDE">
        <w:rPr>
          <w:highlight w:val="yellow"/>
        </w:rPr>
        <w:fldChar w:fldCharType="end"/>
      </w:r>
      <w:r w:rsidRPr="003F6DDE">
        <w:rPr>
          <w:highlight w:val="yellow"/>
        </w:rPr>
        <w:t xml:space="preserve"> (FOCUS Step 4)</w:t>
      </w:r>
      <w:r w:rsidRPr="003F6DDE">
        <w:t>. The assessment is based either on the exposure-toxicity ratio (</w:t>
      </w:r>
      <w:proofErr w:type="spellStart"/>
      <w:r w:rsidRPr="003F6DDE">
        <w:t>ETR</w:t>
      </w:r>
      <w:r w:rsidRPr="003F6DDE">
        <w:rPr>
          <w:vertAlign w:val="subscript"/>
        </w:rPr>
        <w:t>mix</w:t>
      </w:r>
      <w:proofErr w:type="spellEnd"/>
      <w:r w:rsidRPr="003F6DDE">
        <w:t>) or the risk quotient (</w:t>
      </w:r>
      <w:proofErr w:type="spellStart"/>
      <w:r w:rsidRPr="003F6DDE">
        <w:t>RQ</w:t>
      </w:r>
      <w:r w:rsidRPr="003F6DDE">
        <w:rPr>
          <w:vertAlign w:val="subscript"/>
        </w:rPr>
        <w:t>mix</w:t>
      </w:r>
      <w:proofErr w:type="spellEnd"/>
      <w:r w:rsidRPr="003F6DDE">
        <w:t xml:space="preserve">); the </w:t>
      </w:r>
      <w:proofErr w:type="spellStart"/>
      <w:r w:rsidRPr="003F6DDE">
        <w:t>ETR</w:t>
      </w:r>
      <w:r w:rsidRPr="003F6DDE">
        <w:rPr>
          <w:vertAlign w:val="subscript"/>
        </w:rPr>
        <w:t>mix</w:t>
      </w:r>
      <w:proofErr w:type="spellEnd"/>
      <w:r w:rsidRPr="003F6DDE" w:rsidDel="00063093">
        <w:t xml:space="preserve"> </w:t>
      </w:r>
      <w:r w:rsidRPr="003F6DDE">
        <w:t xml:space="preserve">and </w:t>
      </w:r>
      <w:proofErr w:type="spellStart"/>
      <w:r w:rsidRPr="003F6DDE">
        <w:t>RQ</w:t>
      </w:r>
      <w:r w:rsidRPr="003F6DDE">
        <w:rPr>
          <w:vertAlign w:val="subscript"/>
        </w:rPr>
        <w:t>mix</w:t>
      </w:r>
      <w:proofErr w:type="spellEnd"/>
      <w:r w:rsidRPr="003F6DDE" w:rsidDel="00063093">
        <w:t xml:space="preserve"> </w:t>
      </w:r>
      <w:r w:rsidRPr="003F6DDE">
        <w:t xml:space="preserve">are compared to respective trigger values: 1/10 or 1/100 for the </w:t>
      </w:r>
      <w:proofErr w:type="spellStart"/>
      <w:r w:rsidRPr="003F6DDE">
        <w:t>ETR</w:t>
      </w:r>
      <w:r w:rsidRPr="003F6DDE">
        <w:rPr>
          <w:vertAlign w:val="subscript"/>
        </w:rPr>
        <w:t>mix</w:t>
      </w:r>
      <w:proofErr w:type="spellEnd"/>
      <w:r w:rsidRPr="003F6DDE">
        <w:rPr>
          <w:vertAlign w:val="subscript"/>
        </w:rPr>
        <w:t xml:space="preserve"> </w:t>
      </w:r>
      <w:r w:rsidRPr="003F6DDE">
        <w:t xml:space="preserve">(depending on the species assessed) and 1 for </w:t>
      </w:r>
      <w:proofErr w:type="spellStart"/>
      <w:r w:rsidRPr="003F6DDE">
        <w:t>RQ</w:t>
      </w:r>
      <w:r w:rsidRPr="003F6DDE">
        <w:rPr>
          <w:vertAlign w:val="subscript"/>
        </w:rPr>
        <w:t>mix</w:t>
      </w:r>
      <w:proofErr w:type="spellEnd"/>
      <w:r w:rsidRPr="003F6DDE">
        <w:t xml:space="preserve">. Values below the trigger indicating a high risk are marked in </w:t>
      </w:r>
      <w:r w:rsidRPr="003F6DDE">
        <w:rPr>
          <w:b/>
        </w:rPr>
        <w:t>bold</w:t>
      </w:r>
      <w:r w:rsidRPr="003F6DDE">
        <w:t>.</w:t>
      </w:r>
      <w:r w:rsidR="00112DFF">
        <w:t xml:space="preserve"> </w:t>
      </w:r>
      <w:r w:rsidR="00F7790D" w:rsidRPr="00F7790D">
        <w:rPr>
          <w:highlight w:val="yellow"/>
        </w:rPr>
        <w:t>For the sake of a concise assessment the results below are limited t</w:t>
      </w:r>
      <w:r w:rsidR="00A03776">
        <w:rPr>
          <w:highlight w:val="yellow"/>
        </w:rPr>
        <w:t>o</w:t>
      </w:r>
      <w:r w:rsidR="00F7790D" w:rsidRPr="00F7790D">
        <w:rPr>
          <w:highlight w:val="yellow"/>
        </w:rPr>
        <w:t xml:space="preserve"> the</w:t>
      </w:r>
      <w:r w:rsidR="00A03776" w:rsidRPr="00A03776">
        <w:rPr>
          <w:highlight w:val="yellow"/>
        </w:rPr>
        <w:t xml:space="preserve"> </w:t>
      </w:r>
      <w:r w:rsidR="00A03776" w:rsidRPr="00F7790D">
        <w:rPr>
          <w:highlight w:val="yellow"/>
        </w:rPr>
        <w:t>organism groups</w:t>
      </w:r>
      <w:r w:rsidR="00F7790D" w:rsidRPr="00F7790D">
        <w:rPr>
          <w:highlight w:val="yellow"/>
        </w:rPr>
        <w:t xml:space="preserve"> most at risk. Further in-depth justification and explanation</w:t>
      </w:r>
      <w:r w:rsidR="00F7790D">
        <w:rPr>
          <w:highlight w:val="yellow"/>
        </w:rPr>
        <w:t xml:space="preserve"> for other organism groups</w:t>
      </w:r>
      <w:r w:rsidR="00F7790D" w:rsidRPr="00F7790D">
        <w:rPr>
          <w:highlight w:val="yellow"/>
        </w:rPr>
        <w:t xml:space="preserve"> are documented in the attached </w:t>
      </w:r>
      <w:r w:rsidR="00B42C5B">
        <w:rPr>
          <w:highlight w:val="yellow"/>
        </w:rPr>
        <w:t>mixture risk calculation</w:t>
      </w:r>
      <w:r w:rsidR="00B42C5B" w:rsidRPr="00F7790D">
        <w:rPr>
          <w:highlight w:val="yellow"/>
        </w:rPr>
        <w:t xml:space="preserve"> </w:t>
      </w:r>
      <w:r w:rsidR="0064123C">
        <w:rPr>
          <w:highlight w:val="yellow"/>
        </w:rPr>
        <w:t>file</w:t>
      </w:r>
      <w:r w:rsidR="00F7790D" w:rsidRPr="00F7790D">
        <w:rPr>
          <w:highlight w:val="yellow"/>
        </w:rPr>
        <w:t xml:space="preserve"> / Appendix XXX.</w:t>
      </w:r>
    </w:p>
    <w:p w14:paraId="65A4CA8F" w14:textId="77777777" w:rsidR="008D3BDA" w:rsidRDefault="008D3BDA">
      <w:pPr>
        <w:spacing w:after="160" w:line="259" w:lineRule="auto"/>
        <w:rPr>
          <w:highlight w:val="yellow"/>
        </w:rPr>
      </w:pPr>
      <w:r>
        <w:rPr>
          <w:highlight w:val="yellow"/>
        </w:rPr>
        <w:br w:type="page"/>
      </w:r>
    </w:p>
    <w:tbl>
      <w:tblPr>
        <w:tblW w:w="0" w:type="auto"/>
        <w:tblLook w:val="04A0" w:firstRow="1" w:lastRow="0" w:firstColumn="1" w:lastColumn="0" w:noHBand="0" w:noVBand="1"/>
      </w:tblPr>
      <w:tblGrid>
        <w:gridCol w:w="1843"/>
        <w:gridCol w:w="1701"/>
        <w:gridCol w:w="1382"/>
        <w:gridCol w:w="1382"/>
        <w:gridCol w:w="1382"/>
        <w:gridCol w:w="1382"/>
      </w:tblGrid>
      <w:tr w:rsidR="005333E9" w:rsidRPr="00D97492" w14:paraId="417D6FE5" w14:textId="77777777" w:rsidTr="00661020">
        <w:trPr>
          <w:trHeight w:val="375"/>
        </w:trPr>
        <w:tc>
          <w:tcPr>
            <w:tcW w:w="9072" w:type="dxa"/>
            <w:gridSpan w:val="6"/>
            <w:tcBorders>
              <w:bottom w:val="single" w:sz="4" w:space="0" w:color="auto"/>
            </w:tcBorders>
            <w:noWrap/>
            <w:hideMark/>
          </w:tcPr>
          <w:p w14:paraId="0937ECA0" w14:textId="0C5EDA8C" w:rsidR="005333E9" w:rsidRPr="00DE135E" w:rsidRDefault="005F2574" w:rsidP="00AA2133">
            <w:pPr>
              <w:pStyle w:val="Beschriftung"/>
              <w:keepNext/>
              <w:keepLines/>
              <w:spacing w:before="120" w:after="120"/>
              <w:ind w:left="1418" w:hanging="1418"/>
              <w:jc w:val="both"/>
            </w:pPr>
            <w:bookmarkStart w:id="8" w:name="_Ref37772002"/>
            <w:r w:rsidRPr="005F2574">
              <w:rPr>
                <w:sz w:val="22"/>
                <w:szCs w:val="22"/>
              </w:rPr>
              <w:t xml:space="preserve">Table </w:t>
            </w:r>
            <w:r w:rsidRPr="005F2574">
              <w:rPr>
                <w:sz w:val="22"/>
                <w:szCs w:val="22"/>
              </w:rPr>
              <w:fldChar w:fldCharType="begin"/>
            </w:r>
            <w:r w:rsidRPr="005F2574">
              <w:rPr>
                <w:sz w:val="22"/>
                <w:szCs w:val="22"/>
              </w:rPr>
              <w:instrText xml:space="preserve"> STYLEREF 4 \s </w:instrText>
            </w:r>
            <w:r w:rsidRPr="005F2574">
              <w:rPr>
                <w:sz w:val="22"/>
                <w:szCs w:val="22"/>
              </w:rPr>
              <w:fldChar w:fldCharType="separate"/>
            </w:r>
            <w:r w:rsidR="00EE5667">
              <w:rPr>
                <w:noProof/>
                <w:sz w:val="22"/>
                <w:szCs w:val="22"/>
              </w:rPr>
              <w:t>9.5.2.2</w:t>
            </w:r>
            <w:r w:rsidRPr="005F2574">
              <w:rPr>
                <w:sz w:val="22"/>
                <w:szCs w:val="22"/>
              </w:rPr>
              <w:fldChar w:fldCharType="end"/>
            </w:r>
            <w:r w:rsidRPr="005F2574">
              <w:rPr>
                <w:sz w:val="22"/>
                <w:szCs w:val="22"/>
              </w:rPr>
              <w:noBreakHyphen/>
            </w:r>
            <w:r w:rsidRPr="005F2574">
              <w:rPr>
                <w:sz w:val="22"/>
                <w:szCs w:val="22"/>
              </w:rPr>
              <w:fldChar w:fldCharType="begin"/>
            </w:r>
            <w:r w:rsidRPr="005F2574">
              <w:rPr>
                <w:sz w:val="22"/>
                <w:szCs w:val="22"/>
              </w:rPr>
              <w:instrText xml:space="preserve"> SEQ Table \* ARABIC \s 4 </w:instrText>
            </w:r>
            <w:r w:rsidRPr="005F2574">
              <w:rPr>
                <w:sz w:val="22"/>
                <w:szCs w:val="22"/>
              </w:rPr>
              <w:fldChar w:fldCharType="separate"/>
            </w:r>
            <w:r w:rsidR="00EE5667">
              <w:rPr>
                <w:noProof/>
                <w:sz w:val="22"/>
                <w:szCs w:val="22"/>
              </w:rPr>
              <w:t>3</w:t>
            </w:r>
            <w:r w:rsidRPr="005F2574">
              <w:rPr>
                <w:sz w:val="22"/>
                <w:szCs w:val="22"/>
              </w:rPr>
              <w:fldChar w:fldCharType="end"/>
            </w:r>
            <w:bookmarkEnd w:id="8"/>
            <w:r w:rsidRPr="005F2574">
              <w:rPr>
                <w:sz w:val="22"/>
                <w:szCs w:val="22"/>
              </w:rPr>
              <w:t>:</w:t>
            </w:r>
            <w:r>
              <w:rPr>
                <w:sz w:val="22"/>
                <w:szCs w:val="22"/>
              </w:rPr>
              <w:t xml:space="preserve"> </w:t>
            </w:r>
            <w:r w:rsidR="003F6DDE" w:rsidRPr="003F6DDE">
              <w:rPr>
                <w:bCs w:val="0"/>
                <w:sz w:val="22"/>
                <w:szCs w:val="22"/>
              </w:rPr>
              <w:t xml:space="preserve">Summary of the mixture toxicity risk assessment (related to Steps 2, 4, 5 and 8a/8b) for </w:t>
            </w:r>
            <w:r w:rsidR="003F6DDE" w:rsidRPr="003F6DDE">
              <w:rPr>
                <w:bCs w:val="0"/>
                <w:sz w:val="22"/>
                <w:szCs w:val="22"/>
                <w:highlight w:val="yellow"/>
              </w:rPr>
              <w:t xml:space="preserve">fish/invertebrates/algae/macrophytes, for FOCUS Step 1 – 3 </w:t>
            </w:r>
            <w:r w:rsidR="003F6DDE" w:rsidRPr="003F6DDE">
              <w:rPr>
                <w:bCs w:val="0"/>
                <w:sz w:val="22"/>
                <w:szCs w:val="22"/>
              </w:rPr>
              <w:t xml:space="preserve">for application of </w:t>
            </w:r>
            <w:r w:rsidR="003F6DDE" w:rsidRPr="003F6DDE">
              <w:rPr>
                <w:bCs w:val="0"/>
                <w:sz w:val="22"/>
                <w:szCs w:val="22"/>
                <w:highlight w:val="yellow"/>
              </w:rPr>
              <w:t>&lt;formulation&gt;</w:t>
            </w:r>
            <w:r w:rsidR="003F6DDE" w:rsidRPr="003F6DDE">
              <w:rPr>
                <w:bCs w:val="0"/>
                <w:sz w:val="22"/>
                <w:szCs w:val="22"/>
              </w:rPr>
              <w:t xml:space="preserve"> in </w:t>
            </w:r>
            <w:r w:rsidR="003F6DDE" w:rsidRPr="003F6DDE">
              <w:rPr>
                <w:bCs w:val="0"/>
                <w:sz w:val="22"/>
                <w:szCs w:val="22"/>
                <w:highlight w:val="yellow"/>
              </w:rPr>
              <w:t>&lt;crop&gt;</w:t>
            </w:r>
            <w:r w:rsidR="003F6DDE" w:rsidRPr="003F6DDE">
              <w:rPr>
                <w:bCs w:val="0"/>
                <w:sz w:val="22"/>
                <w:szCs w:val="22"/>
              </w:rPr>
              <w:t xml:space="preserve"> (</w:t>
            </w:r>
            <w:r w:rsidR="003F6DDE" w:rsidRPr="003F6DDE">
              <w:rPr>
                <w:bCs w:val="0"/>
                <w:sz w:val="22"/>
                <w:szCs w:val="22"/>
                <w:highlight w:val="yellow"/>
              </w:rPr>
              <w:t>use/use group</w:t>
            </w:r>
            <w:r w:rsidR="003F6DDE" w:rsidRPr="003F6DDE">
              <w:rPr>
                <w:bCs w:val="0"/>
                <w:sz w:val="22"/>
                <w:szCs w:val="22"/>
              </w:rPr>
              <w:t>)</w:t>
            </w:r>
          </w:p>
        </w:tc>
      </w:tr>
      <w:tr w:rsidR="005333E9" w:rsidRPr="00D97492" w14:paraId="733B8478" w14:textId="77777777" w:rsidTr="00661020">
        <w:trPr>
          <w:trHeight w:val="615"/>
        </w:trPr>
        <w:tc>
          <w:tcPr>
            <w:tcW w:w="1843" w:type="dxa"/>
            <w:tcBorders>
              <w:top w:val="single" w:sz="4" w:space="0" w:color="auto"/>
              <w:left w:val="single" w:sz="4" w:space="0" w:color="auto"/>
              <w:bottom w:val="single" w:sz="4" w:space="0" w:color="auto"/>
              <w:right w:val="single" w:sz="4" w:space="0" w:color="auto"/>
            </w:tcBorders>
            <w:hideMark/>
          </w:tcPr>
          <w:p w14:paraId="043A7FC2" w14:textId="77777777" w:rsidR="005333E9" w:rsidRPr="00D97492" w:rsidRDefault="005333E9" w:rsidP="00AA2133">
            <w:pPr>
              <w:spacing w:before="120" w:after="120" w:line="259" w:lineRule="auto"/>
              <w:rPr>
                <w:b/>
                <w:bCs/>
              </w:rPr>
            </w:pPr>
            <w:r w:rsidRPr="00D97492">
              <w:rPr>
                <w:b/>
                <w:bCs/>
              </w:rPr>
              <w:t>FOCUS Scenario</w:t>
            </w:r>
          </w:p>
        </w:tc>
        <w:tc>
          <w:tcPr>
            <w:tcW w:w="1701" w:type="dxa"/>
            <w:tcBorders>
              <w:top w:val="single" w:sz="4" w:space="0" w:color="auto"/>
              <w:left w:val="single" w:sz="4" w:space="0" w:color="auto"/>
              <w:bottom w:val="single" w:sz="4" w:space="0" w:color="auto"/>
              <w:right w:val="single" w:sz="4" w:space="0" w:color="auto"/>
            </w:tcBorders>
            <w:hideMark/>
          </w:tcPr>
          <w:p w14:paraId="5343E79A" w14:textId="1FC175AF" w:rsidR="005333E9" w:rsidRPr="00D97492" w:rsidRDefault="005333E9" w:rsidP="00AA2133">
            <w:pPr>
              <w:spacing w:before="120" w:after="120" w:line="259" w:lineRule="auto"/>
              <w:rPr>
                <w:b/>
                <w:bCs/>
              </w:rPr>
            </w:pPr>
            <w:r w:rsidRPr="00D97492">
              <w:rPr>
                <w:b/>
                <w:bCs/>
              </w:rPr>
              <w:t>Synergism or Antagonism?</w:t>
            </w:r>
            <w:r w:rsidR="005B31E1">
              <w:rPr>
                <w:b/>
                <w:bCs/>
              </w:rPr>
              <w:t xml:space="preserve"> (</w:t>
            </w:r>
            <w:r w:rsidR="00C47667">
              <w:rPr>
                <w:b/>
                <w:bCs/>
              </w:rPr>
              <w:t xml:space="preserve">e.g. </w:t>
            </w:r>
            <w:r w:rsidR="005B31E1">
              <w:rPr>
                <w:b/>
                <w:bCs/>
              </w:rPr>
              <w:t xml:space="preserve">Step </w:t>
            </w:r>
            <w:r w:rsidR="005B31E1" w:rsidRPr="00C47667">
              <w:rPr>
                <w:b/>
                <w:bCs/>
              </w:rPr>
              <w:t>2</w:t>
            </w:r>
            <w:r w:rsidR="005B31E1">
              <w:rPr>
                <w:b/>
                <w:bCs/>
              </w:rPr>
              <w:t>)</w:t>
            </w:r>
          </w:p>
        </w:tc>
        <w:tc>
          <w:tcPr>
            <w:tcW w:w="1382" w:type="dxa"/>
            <w:tcBorders>
              <w:top w:val="single" w:sz="4" w:space="0" w:color="auto"/>
              <w:left w:val="single" w:sz="4" w:space="0" w:color="auto"/>
              <w:bottom w:val="single" w:sz="4" w:space="0" w:color="auto"/>
              <w:right w:val="single" w:sz="4" w:space="0" w:color="auto"/>
            </w:tcBorders>
            <w:hideMark/>
          </w:tcPr>
          <w:p w14:paraId="6F18ECA3" w14:textId="77777777" w:rsidR="005333E9" w:rsidRPr="00D97492" w:rsidRDefault="005333E9" w:rsidP="00AA2133">
            <w:pPr>
              <w:spacing w:before="120" w:after="120" w:line="259" w:lineRule="auto"/>
              <w:rPr>
                <w:b/>
                <w:bCs/>
              </w:rPr>
            </w:pPr>
            <w:r w:rsidRPr="00D97492">
              <w:rPr>
                <w:b/>
                <w:bCs/>
              </w:rPr>
              <w:t xml:space="preserve">Driver? </w:t>
            </w:r>
            <w:r w:rsidRPr="00D97492">
              <w:rPr>
                <w:b/>
                <w:bCs/>
              </w:rPr>
              <w:br/>
              <w:t>(Step 5)</w:t>
            </w:r>
          </w:p>
        </w:tc>
        <w:tc>
          <w:tcPr>
            <w:tcW w:w="1382" w:type="dxa"/>
            <w:tcBorders>
              <w:top w:val="single" w:sz="4" w:space="0" w:color="auto"/>
              <w:left w:val="single" w:sz="4" w:space="0" w:color="auto"/>
              <w:bottom w:val="single" w:sz="4" w:space="0" w:color="auto"/>
              <w:right w:val="single" w:sz="4" w:space="0" w:color="auto"/>
            </w:tcBorders>
            <w:hideMark/>
          </w:tcPr>
          <w:p w14:paraId="2A3B266C" w14:textId="77777777" w:rsidR="005333E9" w:rsidRPr="00D97492" w:rsidRDefault="005333E9" w:rsidP="00AA2133">
            <w:pPr>
              <w:spacing w:before="120" w:after="120" w:line="259" w:lineRule="auto"/>
              <w:rPr>
                <w:b/>
                <w:bCs/>
              </w:rPr>
            </w:pPr>
            <w:proofErr w:type="spellStart"/>
            <w:r w:rsidRPr="00D97492">
              <w:rPr>
                <w:b/>
                <w:bCs/>
              </w:rPr>
              <w:t>ETR</w:t>
            </w:r>
            <w:r w:rsidRPr="00DE135E">
              <w:rPr>
                <w:b/>
                <w:bCs/>
                <w:vertAlign w:val="subscript"/>
              </w:rPr>
              <w:t>mix</w:t>
            </w:r>
            <w:proofErr w:type="spellEnd"/>
            <w:r w:rsidRPr="009F20B8">
              <w:rPr>
                <w:b/>
                <w:bCs/>
                <w:vertAlign w:val="subscript"/>
              </w:rPr>
              <w:t>-PPP</w:t>
            </w:r>
            <w:r w:rsidRPr="00D97492">
              <w:rPr>
                <w:b/>
                <w:bCs/>
              </w:rPr>
              <w:t xml:space="preserve"> </w:t>
            </w:r>
            <w:r w:rsidRPr="00D97492">
              <w:rPr>
                <w:b/>
                <w:bCs/>
              </w:rPr>
              <w:br/>
              <w:t>(Step 4)</w:t>
            </w:r>
          </w:p>
        </w:tc>
        <w:tc>
          <w:tcPr>
            <w:tcW w:w="1382" w:type="dxa"/>
            <w:tcBorders>
              <w:top w:val="single" w:sz="4" w:space="0" w:color="auto"/>
              <w:left w:val="single" w:sz="4" w:space="0" w:color="auto"/>
              <w:bottom w:val="single" w:sz="4" w:space="0" w:color="auto"/>
              <w:right w:val="single" w:sz="4" w:space="0" w:color="auto"/>
            </w:tcBorders>
            <w:hideMark/>
          </w:tcPr>
          <w:p w14:paraId="3A3DC4CB" w14:textId="77777777" w:rsidR="005333E9" w:rsidRPr="00D97492" w:rsidRDefault="005333E9" w:rsidP="00AA2133">
            <w:pPr>
              <w:spacing w:before="120" w:after="120" w:line="259" w:lineRule="auto"/>
              <w:rPr>
                <w:b/>
                <w:bCs/>
              </w:rPr>
            </w:pPr>
            <w:proofErr w:type="spellStart"/>
            <w:r w:rsidRPr="00D97492">
              <w:rPr>
                <w:b/>
                <w:bCs/>
              </w:rPr>
              <w:t>ETR</w:t>
            </w:r>
            <w:r w:rsidRPr="00DE135E">
              <w:rPr>
                <w:b/>
                <w:bCs/>
                <w:vertAlign w:val="subscript"/>
              </w:rPr>
              <w:t>mix</w:t>
            </w:r>
            <w:proofErr w:type="spellEnd"/>
            <w:r w:rsidRPr="009F20B8">
              <w:rPr>
                <w:b/>
                <w:bCs/>
                <w:vertAlign w:val="subscript"/>
              </w:rPr>
              <w:t>-CA</w:t>
            </w:r>
            <w:r w:rsidRPr="00D97492">
              <w:rPr>
                <w:b/>
                <w:bCs/>
              </w:rPr>
              <w:t xml:space="preserve"> </w:t>
            </w:r>
            <w:r w:rsidRPr="00D97492">
              <w:rPr>
                <w:b/>
                <w:bCs/>
              </w:rPr>
              <w:br/>
              <w:t>(Step 8a)</w:t>
            </w:r>
          </w:p>
        </w:tc>
        <w:tc>
          <w:tcPr>
            <w:tcW w:w="1382" w:type="dxa"/>
            <w:tcBorders>
              <w:top w:val="single" w:sz="4" w:space="0" w:color="auto"/>
              <w:left w:val="single" w:sz="4" w:space="0" w:color="auto"/>
              <w:bottom w:val="single" w:sz="4" w:space="0" w:color="auto"/>
              <w:right w:val="single" w:sz="4" w:space="0" w:color="auto"/>
            </w:tcBorders>
            <w:hideMark/>
          </w:tcPr>
          <w:p w14:paraId="6EB36521" w14:textId="77777777" w:rsidR="005333E9" w:rsidRPr="00D97492" w:rsidRDefault="005333E9" w:rsidP="00AA2133">
            <w:pPr>
              <w:spacing w:before="120" w:after="120" w:line="259" w:lineRule="auto"/>
              <w:rPr>
                <w:b/>
                <w:bCs/>
              </w:rPr>
            </w:pPr>
            <w:proofErr w:type="spellStart"/>
            <w:r w:rsidRPr="00D97492">
              <w:rPr>
                <w:b/>
                <w:bCs/>
              </w:rPr>
              <w:t>RQ</w:t>
            </w:r>
            <w:r w:rsidRPr="00DE135E">
              <w:rPr>
                <w:b/>
                <w:bCs/>
                <w:vertAlign w:val="subscript"/>
              </w:rPr>
              <w:t>mix</w:t>
            </w:r>
            <w:proofErr w:type="spellEnd"/>
            <w:r w:rsidRPr="00D97492">
              <w:rPr>
                <w:b/>
                <w:bCs/>
              </w:rPr>
              <w:t xml:space="preserve"> </w:t>
            </w:r>
            <w:r w:rsidRPr="00D97492">
              <w:rPr>
                <w:b/>
                <w:bCs/>
              </w:rPr>
              <w:br/>
              <w:t>(Step 8b)</w:t>
            </w:r>
          </w:p>
        </w:tc>
      </w:tr>
      <w:tr w:rsidR="00112DFF" w:rsidRPr="00D97492" w14:paraId="3310C004" w14:textId="77777777" w:rsidTr="00A03776">
        <w:trPr>
          <w:trHeight w:val="375"/>
        </w:trPr>
        <w:tc>
          <w:tcPr>
            <w:tcW w:w="1843" w:type="dxa"/>
            <w:tcBorders>
              <w:top w:val="single" w:sz="4" w:space="0" w:color="auto"/>
              <w:left w:val="single" w:sz="4" w:space="0" w:color="auto"/>
              <w:bottom w:val="single" w:sz="4" w:space="0" w:color="auto"/>
              <w:right w:val="single" w:sz="4" w:space="0" w:color="auto"/>
            </w:tcBorders>
            <w:hideMark/>
          </w:tcPr>
          <w:p w14:paraId="4D55D592" w14:textId="77777777" w:rsidR="00112DFF" w:rsidRPr="001E5BD6" w:rsidRDefault="00112DFF" w:rsidP="00112DFF">
            <w:pPr>
              <w:spacing w:before="120" w:after="120" w:line="259" w:lineRule="auto"/>
              <w:rPr>
                <w:b/>
              </w:rPr>
            </w:pPr>
            <w:r w:rsidRPr="001E5BD6">
              <w:rPr>
                <w:b/>
              </w:rPr>
              <w:t>Step 1</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70EF241E" w14:textId="45075DEE"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center"/>
          </w:tcPr>
          <w:p w14:paraId="21498A30" w14:textId="0D2E51DE"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bottom"/>
          </w:tcPr>
          <w:p w14:paraId="1D470D82" w14:textId="570C47E0"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49DE054C" w14:textId="36AAF1D5"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657E22FA" w14:textId="5D80F103" w:rsidR="00112DFF" w:rsidRPr="00D97492" w:rsidRDefault="00112DFF" w:rsidP="00112DFF">
            <w:pPr>
              <w:spacing w:before="120" w:after="120" w:line="259" w:lineRule="auto"/>
              <w:rPr>
                <w:b/>
                <w:bCs/>
              </w:rPr>
            </w:pPr>
          </w:p>
        </w:tc>
      </w:tr>
      <w:tr w:rsidR="00112DFF" w:rsidRPr="00D97492" w14:paraId="24EBD75B" w14:textId="77777777" w:rsidTr="00A03776">
        <w:trPr>
          <w:trHeight w:val="375"/>
        </w:trPr>
        <w:tc>
          <w:tcPr>
            <w:tcW w:w="1843" w:type="dxa"/>
            <w:tcBorders>
              <w:top w:val="single" w:sz="4" w:space="0" w:color="auto"/>
              <w:left w:val="single" w:sz="4" w:space="0" w:color="auto"/>
              <w:bottom w:val="single" w:sz="4" w:space="0" w:color="auto"/>
              <w:right w:val="single" w:sz="4" w:space="0" w:color="auto"/>
            </w:tcBorders>
            <w:hideMark/>
          </w:tcPr>
          <w:p w14:paraId="24A32236" w14:textId="77777777" w:rsidR="00112DFF" w:rsidRPr="001E5BD6" w:rsidRDefault="00112DFF" w:rsidP="00112DFF">
            <w:pPr>
              <w:spacing w:before="120" w:after="120" w:line="259" w:lineRule="auto"/>
              <w:rPr>
                <w:b/>
              </w:rPr>
            </w:pPr>
            <w:r w:rsidRPr="001E5BD6">
              <w:rPr>
                <w:b/>
              </w:rPr>
              <w:t>Step 2</w:t>
            </w:r>
          </w:p>
        </w:tc>
        <w:tc>
          <w:tcPr>
            <w:tcW w:w="1701" w:type="dxa"/>
            <w:vMerge/>
            <w:tcBorders>
              <w:top w:val="single" w:sz="4" w:space="0" w:color="auto"/>
              <w:left w:val="single" w:sz="4" w:space="0" w:color="auto"/>
              <w:bottom w:val="single" w:sz="4" w:space="0" w:color="auto"/>
              <w:right w:val="single" w:sz="4" w:space="0" w:color="auto"/>
            </w:tcBorders>
            <w:vAlign w:val="center"/>
          </w:tcPr>
          <w:p w14:paraId="21643368" w14:textId="77777777"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center"/>
          </w:tcPr>
          <w:p w14:paraId="1C14E2B1" w14:textId="2CBCFA67"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bottom"/>
          </w:tcPr>
          <w:p w14:paraId="684965D5" w14:textId="131521C3"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62D48BCC" w14:textId="36C3DD7F"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0F03EEC6" w14:textId="46AB5AB6" w:rsidR="00112DFF" w:rsidRPr="00D97492" w:rsidRDefault="00112DFF" w:rsidP="00112DFF">
            <w:pPr>
              <w:spacing w:before="120" w:after="120" w:line="259" w:lineRule="auto"/>
              <w:rPr>
                <w:b/>
                <w:bCs/>
              </w:rPr>
            </w:pPr>
          </w:p>
        </w:tc>
      </w:tr>
      <w:tr w:rsidR="00112DFF" w:rsidRPr="00D97492" w14:paraId="23BB56F1" w14:textId="77777777" w:rsidTr="00A03776">
        <w:trPr>
          <w:trHeight w:val="375"/>
        </w:trPr>
        <w:tc>
          <w:tcPr>
            <w:tcW w:w="1843" w:type="dxa"/>
            <w:tcBorders>
              <w:top w:val="single" w:sz="4" w:space="0" w:color="auto"/>
              <w:left w:val="single" w:sz="4" w:space="0" w:color="auto"/>
              <w:bottom w:val="single" w:sz="4" w:space="0" w:color="auto"/>
              <w:right w:val="single" w:sz="4" w:space="0" w:color="auto"/>
            </w:tcBorders>
            <w:hideMark/>
          </w:tcPr>
          <w:p w14:paraId="06B18518" w14:textId="77777777" w:rsidR="00112DFF" w:rsidRPr="001E5BD6" w:rsidRDefault="00112DFF" w:rsidP="00112DFF">
            <w:pPr>
              <w:spacing w:before="120" w:after="120" w:line="259" w:lineRule="auto"/>
              <w:rPr>
                <w:b/>
              </w:rPr>
            </w:pPr>
            <w:r w:rsidRPr="001E5BD6">
              <w:rPr>
                <w:b/>
              </w:rPr>
              <w:t>N-Europe</w:t>
            </w:r>
          </w:p>
        </w:tc>
        <w:tc>
          <w:tcPr>
            <w:tcW w:w="1701" w:type="dxa"/>
            <w:vMerge/>
            <w:tcBorders>
              <w:top w:val="single" w:sz="4" w:space="0" w:color="auto"/>
              <w:left w:val="single" w:sz="4" w:space="0" w:color="auto"/>
              <w:bottom w:val="single" w:sz="4" w:space="0" w:color="auto"/>
              <w:right w:val="single" w:sz="4" w:space="0" w:color="auto"/>
            </w:tcBorders>
            <w:vAlign w:val="center"/>
          </w:tcPr>
          <w:p w14:paraId="634BA4AF" w14:textId="77777777"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center"/>
          </w:tcPr>
          <w:p w14:paraId="67F9CBE7" w14:textId="7A4E30F4"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bottom"/>
          </w:tcPr>
          <w:p w14:paraId="75104032" w14:textId="55DF8069"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0B7BB1DB" w14:textId="4D8DD98B"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2362E36B" w14:textId="68DEFC9C" w:rsidR="00112DFF" w:rsidRPr="00D97492" w:rsidRDefault="00112DFF" w:rsidP="00112DFF">
            <w:pPr>
              <w:spacing w:before="120" w:after="120" w:line="259" w:lineRule="auto"/>
              <w:rPr>
                <w:b/>
                <w:bCs/>
              </w:rPr>
            </w:pPr>
          </w:p>
        </w:tc>
      </w:tr>
      <w:tr w:rsidR="00112DFF" w:rsidRPr="00D97492" w14:paraId="40B9B52E" w14:textId="77777777" w:rsidTr="00A03776">
        <w:trPr>
          <w:trHeight w:val="375"/>
        </w:trPr>
        <w:tc>
          <w:tcPr>
            <w:tcW w:w="1843" w:type="dxa"/>
            <w:tcBorders>
              <w:top w:val="single" w:sz="4" w:space="0" w:color="auto"/>
              <w:left w:val="single" w:sz="4" w:space="0" w:color="auto"/>
              <w:bottom w:val="single" w:sz="4" w:space="0" w:color="auto"/>
              <w:right w:val="single" w:sz="4" w:space="0" w:color="auto"/>
            </w:tcBorders>
            <w:hideMark/>
          </w:tcPr>
          <w:p w14:paraId="65031192" w14:textId="77777777" w:rsidR="00112DFF" w:rsidRPr="001E5BD6" w:rsidRDefault="00112DFF" w:rsidP="00112DFF">
            <w:pPr>
              <w:spacing w:before="120" w:after="120" w:line="259" w:lineRule="auto"/>
              <w:rPr>
                <w:b/>
              </w:rPr>
            </w:pPr>
            <w:r w:rsidRPr="001E5BD6">
              <w:rPr>
                <w:b/>
              </w:rPr>
              <w:t>S-Europe</w:t>
            </w:r>
          </w:p>
        </w:tc>
        <w:tc>
          <w:tcPr>
            <w:tcW w:w="1701" w:type="dxa"/>
            <w:vMerge/>
            <w:tcBorders>
              <w:top w:val="single" w:sz="4" w:space="0" w:color="auto"/>
              <w:left w:val="single" w:sz="4" w:space="0" w:color="auto"/>
              <w:bottom w:val="single" w:sz="4" w:space="0" w:color="auto"/>
              <w:right w:val="single" w:sz="4" w:space="0" w:color="auto"/>
            </w:tcBorders>
            <w:vAlign w:val="center"/>
          </w:tcPr>
          <w:p w14:paraId="41C60CD1" w14:textId="77777777"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center"/>
          </w:tcPr>
          <w:p w14:paraId="65E694A7" w14:textId="7128560D"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bottom"/>
          </w:tcPr>
          <w:p w14:paraId="59E1A5A1" w14:textId="4CEB1242"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409BFEF5" w14:textId="6967C485"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3B90E54E" w14:textId="24B907AA" w:rsidR="00112DFF" w:rsidRPr="00D97492" w:rsidRDefault="00112DFF" w:rsidP="00112DFF">
            <w:pPr>
              <w:spacing w:before="120" w:after="120" w:line="259" w:lineRule="auto"/>
              <w:rPr>
                <w:b/>
                <w:bCs/>
              </w:rPr>
            </w:pPr>
          </w:p>
        </w:tc>
      </w:tr>
      <w:tr w:rsidR="00112DFF" w:rsidRPr="00D97492" w14:paraId="50896140" w14:textId="77777777" w:rsidTr="00A03776">
        <w:trPr>
          <w:trHeight w:val="375"/>
        </w:trPr>
        <w:tc>
          <w:tcPr>
            <w:tcW w:w="1843" w:type="dxa"/>
            <w:tcBorders>
              <w:top w:val="single" w:sz="4" w:space="0" w:color="auto"/>
              <w:left w:val="single" w:sz="4" w:space="0" w:color="auto"/>
              <w:bottom w:val="single" w:sz="4" w:space="0" w:color="auto"/>
              <w:right w:val="single" w:sz="4" w:space="0" w:color="auto"/>
            </w:tcBorders>
            <w:hideMark/>
          </w:tcPr>
          <w:p w14:paraId="2F68895E" w14:textId="77777777" w:rsidR="00112DFF" w:rsidRPr="001E5BD6" w:rsidRDefault="00112DFF" w:rsidP="00112DFF">
            <w:pPr>
              <w:spacing w:before="120" w:after="120" w:line="259" w:lineRule="auto"/>
              <w:rPr>
                <w:b/>
              </w:rPr>
            </w:pPr>
            <w:r w:rsidRPr="001E5BD6">
              <w:rPr>
                <w:b/>
              </w:rPr>
              <w:t>Step 3</w:t>
            </w:r>
          </w:p>
        </w:tc>
        <w:tc>
          <w:tcPr>
            <w:tcW w:w="1701" w:type="dxa"/>
            <w:vMerge/>
            <w:tcBorders>
              <w:top w:val="single" w:sz="4" w:space="0" w:color="auto"/>
              <w:left w:val="single" w:sz="4" w:space="0" w:color="auto"/>
              <w:bottom w:val="single" w:sz="4" w:space="0" w:color="auto"/>
              <w:right w:val="single" w:sz="4" w:space="0" w:color="auto"/>
            </w:tcBorders>
            <w:vAlign w:val="center"/>
          </w:tcPr>
          <w:p w14:paraId="586AA4F4" w14:textId="77777777"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center"/>
          </w:tcPr>
          <w:p w14:paraId="0E46FB43" w14:textId="1D1BDF97"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bottom"/>
          </w:tcPr>
          <w:p w14:paraId="5421EBEA" w14:textId="73F87134"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34646127" w14:textId="6DABD432"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09EFD34A" w14:textId="337A1607" w:rsidR="00112DFF" w:rsidRPr="00D97492" w:rsidRDefault="00112DFF" w:rsidP="00112DFF">
            <w:pPr>
              <w:spacing w:before="120" w:after="120" w:line="259" w:lineRule="auto"/>
              <w:rPr>
                <w:b/>
                <w:bCs/>
              </w:rPr>
            </w:pPr>
          </w:p>
        </w:tc>
      </w:tr>
      <w:tr w:rsidR="00112DFF" w:rsidRPr="00D97492" w14:paraId="3F07A3A3" w14:textId="77777777" w:rsidTr="00A03776">
        <w:trPr>
          <w:trHeight w:val="375"/>
        </w:trPr>
        <w:tc>
          <w:tcPr>
            <w:tcW w:w="1843" w:type="dxa"/>
            <w:tcBorders>
              <w:top w:val="single" w:sz="4" w:space="0" w:color="auto"/>
              <w:left w:val="single" w:sz="4" w:space="0" w:color="auto"/>
              <w:bottom w:val="single" w:sz="4" w:space="0" w:color="auto"/>
              <w:right w:val="single" w:sz="4" w:space="0" w:color="auto"/>
            </w:tcBorders>
            <w:hideMark/>
          </w:tcPr>
          <w:p w14:paraId="4164A3E6" w14:textId="77777777" w:rsidR="00112DFF" w:rsidRPr="001E5BD6" w:rsidRDefault="00112DFF" w:rsidP="00112DFF">
            <w:pPr>
              <w:spacing w:before="120" w:after="120" w:line="259" w:lineRule="auto"/>
              <w:rPr>
                <w:b/>
              </w:rPr>
            </w:pPr>
            <w:r w:rsidRPr="001E5BD6">
              <w:rPr>
                <w:b/>
              </w:rPr>
              <w:t>D1/ ditch</w:t>
            </w:r>
          </w:p>
        </w:tc>
        <w:tc>
          <w:tcPr>
            <w:tcW w:w="1701" w:type="dxa"/>
            <w:vMerge/>
            <w:tcBorders>
              <w:top w:val="single" w:sz="4" w:space="0" w:color="auto"/>
              <w:left w:val="single" w:sz="4" w:space="0" w:color="auto"/>
              <w:bottom w:val="single" w:sz="4" w:space="0" w:color="auto"/>
              <w:right w:val="single" w:sz="4" w:space="0" w:color="auto"/>
            </w:tcBorders>
            <w:vAlign w:val="center"/>
          </w:tcPr>
          <w:p w14:paraId="4CF08B9D" w14:textId="77777777"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center"/>
          </w:tcPr>
          <w:p w14:paraId="4328F6CD" w14:textId="0121D366"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bottom"/>
          </w:tcPr>
          <w:p w14:paraId="1590FE7A" w14:textId="1C68F23D"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767F464A" w14:textId="04A72CA9"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0BB87906" w14:textId="515D5588" w:rsidR="00112DFF" w:rsidRPr="00D97492" w:rsidRDefault="00112DFF" w:rsidP="00112DFF">
            <w:pPr>
              <w:spacing w:before="120" w:after="120" w:line="259" w:lineRule="auto"/>
              <w:rPr>
                <w:b/>
                <w:bCs/>
              </w:rPr>
            </w:pPr>
          </w:p>
        </w:tc>
      </w:tr>
      <w:tr w:rsidR="00112DFF" w:rsidRPr="00D97492" w14:paraId="2FB9DBA8" w14:textId="77777777" w:rsidTr="00A03776">
        <w:trPr>
          <w:trHeight w:val="375"/>
        </w:trPr>
        <w:tc>
          <w:tcPr>
            <w:tcW w:w="1843" w:type="dxa"/>
            <w:tcBorders>
              <w:top w:val="single" w:sz="4" w:space="0" w:color="auto"/>
              <w:left w:val="single" w:sz="4" w:space="0" w:color="auto"/>
              <w:bottom w:val="single" w:sz="4" w:space="0" w:color="auto"/>
              <w:right w:val="single" w:sz="4" w:space="0" w:color="auto"/>
            </w:tcBorders>
            <w:hideMark/>
          </w:tcPr>
          <w:p w14:paraId="231D707E" w14:textId="77777777" w:rsidR="00112DFF" w:rsidRPr="001E5BD6" w:rsidRDefault="00112DFF" w:rsidP="00112DFF">
            <w:pPr>
              <w:spacing w:before="120" w:after="120" w:line="259" w:lineRule="auto"/>
              <w:rPr>
                <w:b/>
              </w:rPr>
            </w:pPr>
            <w:r w:rsidRPr="001E5BD6">
              <w:rPr>
                <w:b/>
              </w:rPr>
              <w:t>D1/ stream</w:t>
            </w:r>
          </w:p>
        </w:tc>
        <w:tc>
          <w:tcPr>
            <w:tcW w:w="1701" w:type="dxa"/>
            <w:vMerge/>
            <w:tcBorders>
              <w:top w:val="single" w:sz="4" w:space="0" w:color="auto"/>
              <w:left w:val="single" w:sz="4" w:space="0" w:color="auto"/>
              <w:bottom w:val="single" w:sz="4" w:space="0" w:color="auto"/>
              <w:right w:val="single" w:sz="4" w:space="0" w:color="auto"/>
            </w:tcBorders>
            <w:vAlign w:val="center"/>
          </w:tcPr>
          <w:p w14:paraId="3B71682B" w14:textId="77777777"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center"/>
          </w:tcPr>
          <w:p w14:paraId="08B5FDA9" w14:textId="144C986A"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bottom"/>
          </w:tcPr>
          <w:p w14:paraId="48D0ED2C" w14:textId="061CA758"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12279458" w14:textId="6417F4F1"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1372A1E7" w14:textId="09B79D3D" w:rsidR="00112DFF" w:rsidRPr="00D97492" w:rsidRDefault="00112DFF" w:rsidP="00112DFF">
            <w:pPr>
              <w:spacing w:before="120" w:after="120" w:line="259" w:lineRule="auto"/>
              <w:rPr>
                <w:b/>
                <w:bCs/>
              </w:rPr>
            </w:pPr>
          </w:p>
        </w:tc>
      </w:tr>
      <w:tr w:rsidR="00112DFF" w:rsidRPr="00D97492" w14:paraId="6035D63A" w14:textId="77777777" w:rsidTr="00A03776">
        <w:trPr>
          <w:trHeight w:val="375"/>
        </w:trPr>
        <w:tc>
          <w:tcPr>
            <w:tcW w:w="1843" w:type="dxa"/>
            <w:tcBorders>
              <w:top w:val="single" w:sz="4" w:space="0" w:color="auto"/>
              <w:left w:val="single" w:sz="4" w:space="0" w:color="auto"/>
              <w:bottom w:val="single" w:sz="4" w:space="0" w:color="auto"/>
              <w:right w:val="single" w:sz="4" w:space="0" w:color="auto"/>
            </w:tcBorders>
            <w:hideMark/>
          </w:tcPr>
          <w:p w14:paraId="082C937A" w14:textId="77777777" w:rsidR="00112DFF" w:rsidRPr="001E5BD6" w:rsidRDefault="00112DFF" w:rsidP="00112DFF">
            <w:pPr>
              <w:spacing w:before="120" w:after="120" w:line="259" w:lineRule="auto"/>
              <w:rPr>
                <w:b/>
              </w:rPr>
            </w:pPr>
            <w:r w:rsidRPr="001E5BD6">
              <w:rPr>
                <w:b/>
              </w:rPr>
              <w:t>D2/ ditch</w:t>
            </w:r>
          </w:p>
        </w:tc>
        <w:tc>
          <w:tcPr>
            <w:tcW w:w="1701" w:type="dxa"/>
            <w:vMerge/>
            <w:tcBorders>
              <w:top w:val="single" w:sz="4" w:space="0" w:color="auto"/>
              <w:left w:val="single" w:sz="4" w:space="0" w:color="auto"/>
              <w:bottom w:val="single" w:sz="4" w:space="0" w:color="auto"/>
              <w:right w:val="single" w:sz="4" w:space="0" w:color="auto"/>
            </w:tcBorders>
            <w:vAlign w:val="center"/>
          </w:tcPr>
          <w:p w14:paraId="312261D3" w14:textId="77777777"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center"/>
          </w:tcPr>
          <w:p w14:paraId="0F0F9F77" w14:textId="28F45BD9"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bottom"/>
          </w:tcPr>
          <w:p w14:paraId="65655A77" w14:textId="0190BECC"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7C4C76F2" w14:textId="16BD91D8"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1C7C1B73" w14:textId="597FCBE2" w:rsidR="00112DFF" w:rsidRPr="00D97492" w:rsidRDefault="00112DFF" w:rsidP="00112DFF">
            <w:pPr>
              <w:spacing w:before="120" w:after="120" w:line="259" w:lineRule="auto"/>
              <w:rPr>
                <w:b/>
                <w:bCs/>
              </w:rPr>
            </w:pPr>
          </w:p>
        </w:tc>
      </w:tr>
      <w:tr w:rsidR="00112DFF" w:rsidRPr="00D97492" w14:paraId="3126FF22" w14:textId="77777777" w:rsidTr="00A03776">
        <w:trPr>
          <w:trHeight w:val="375"/>
        </w:trPr>
        <w:tc>
          <w:tcPr>
            <w:tcW w:w="1843" w:type="dxa"/>
            <w:tcBorders>
              <w:top w:val="single" w:sz="4" w:space="0" w:color="auto"/>
              <w:left w:val="single" w:sz="4" w:space="0" w:color="auto"/>
              <w:bottom w:val="single" w:sz="4" w:space="0" w:color="auto"/>
              <w:right w:val="single" w:sz="4" w:space="0" w:color="auto"/>
            </w:tcBorders>
            <w:hideMark/>
          </w:tcPr>
          <w:p w14:paraId="0C686BE8" w14:textId="77777777" w:rsidR="00112DFF" w:rsidRPr="001E5BD6" w:rsidRDefault="00112DFF" w:rsidP="00112DFF">
            <w:pPr>
              <w:spacing w:before="120" w:after="120" w:line="259" w:lineRule="auto"/>
              <w:rPr>
                <w:b/>
              </w:rPr>
            </w:pPr>
            <w:r w:rsidRPr="001E5BD6">
              <w:rPr>
                <w:b/>
              </w:rPr>
              <w:t>D2/ stream</w:t>
            </w:r>
          </w:p>
        </w:tc>
        <w:tc>
          <w:tcPr>
            <w:tcW w:w="1701" w:type="dxa"/>
            <w:vMerge/>
            <w:tcBorders>
              <w:top w:val="single" w:sz="4" w:space="0" w:color="auto"/>
              <w:left w:val="single" w:sz="4" w:space="0" w:color="auto"/>
              <w:bottom w:val="single" w:sz="4" w:space="0" w:color="auto"/>
              <w:right w:val="single" w:sz="4" w:space="0" w:color="auto"/>
            </w:tcBorders>
            <w:vAlign w:val="center"/>
          </w:tcPr>
          <w:p w14:paraId="1D0047EC" w14:textId="77777777"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center"/>
          </w:tcPr>
          <w:p w14:paraId="2ED3FBC2" w14:textId="657CFB83"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bottom"/>
          </w:tcPr>
          <w:p w14:paraId="156DFED9" w14:textId="200B1DA5"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37D6753E" w14:textId="260B716D"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395C9E05" w14:textId="41744F1A" w:rsidR="00112DFF" w:rsidRPr="00D97492" w:rsidRDefault="00112DFF" w:rsidP="00112DFF">
            <w:pPr>
              <w:spacing w:before="120" w:after="120" w:line="259" w:lineRule="auto"/>
              <w:rPr>
                <w:b/>
                <w:bCs/>
              </w:rPr>
            </w:pPr>
          </w:p>
        </w:tc>
      </w:tr>
      <w:tr w:rsidR="00112DFF" w:rsidRPr="00D97492" w14:paraId="199A43E1" w14:textId="77777777" w:rsidTr="00A03776">
        <w:trPr>
          <w:trHeight w:val="375"/>
        </w:trPr>
        <w:tc>
          <w:tcPr>
            <w:tcW w:w="1843" w:type="dxa"/>
            <w:tcBorders>
              <w:top w:val="single" w:sz="4" w:space="0" w:color="auto"/>
              <w:left w:val="single" w:sz="4" w:space="0" w:color="auto"/>
              <w:bottom w:val="single" w:sz="4" w:space="0" w:color="auto"/>
              <w:right w:val="single" w:sz="4" w:space="0" w:color="auto"/>
            </w:tcBorders>
            <w:hideMark/>
          </w:tcPr>
          <w:p w14:paraId="4016829C" w14:textId="77777777" w:rsidR="00112DFF" w:rsidRPr="001E5BD6" w:rsidRDefault="00112DFF" w:rsidP="00112DFF">
            <w:pPr>
              <w:spacing w:before="120" w:after="120" w:line="259" w:lineRule="auto"/>
              <w:rPr>
                <w:b/>
              </w:rPr>
            </w:pPr>
            <w:r w:rsidRPr="001E5BD6">
              <w:rPr>
                <w:b/>
              </w:rPr>
              <w:t>D3/ ditch</w:t>
            </w:r>
          </w:p>
        </w:tc>
        <w:tc>
          <w:tcPr>
            <w:tcW w:w="1701" w:type="dxa"/>
            <w:vMerge/>
            <w:tcBorders>
              <w:top w:val="single" w:sz="4" w:space="0" w:color="auto"/>
              <w:left w:val="single" w:sz="4" w:space="0" w:color="auto"/>
              <w:bottom w:val="single" w:sz="4" w:space="0" w:color="auto"/>
              <w:right w:val="single" w:sz="4" w:space="0" w:color="auto"/>
            </w:tcBorders>
            <w:vAlign w:val="center"/>
          </w:tcPr>
          <w:p w14:paraId="3A9D6A8C" w14:textId="77777777"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center"/>
          </w:tcPr>
          <w:p w14:paraId="440D4876" w14:textId="1017BE27"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bottom"/>
          </w:tcPr>
          <w:p w14:paraId="4CA1BB45" w14:textId="7097F17A"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739A2F30" w14:textId="02682674"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7D113E91" w14:textId="06C9AFC1" w:rsidR="00112DFF" w:rsidRPr="00D97492" w:rsidRDefault="00112DFF" w:rsidP="00112DFF">
            <w:pPr>
              <w:spacing w:before="120" w:after="120" w:line="259" w:lineRule="auto"/>
              <w:rPr>
                <w:b/>
                <w:bCs/>
              </w:rPr>
            </w:pPr>
          </w:p>
        </w:tc>
      </w:tr>
      <w:tr w:rsidR="00112DFF" w:rsidRPr="00D97492" w14:paraId="3CA4B3F1" w14:textId="77777777" w:rsidTr="00A03776">
        <w:trPr>
          <w:trHeight w:val="375"/>
        </w:trPr>
        <w:tc>
          <w:tcPr>
            <w:tcW w:w="1843" w:type="dxa"/>
            <w:tcBorders>
              <w:top w:val="single" w:sz="4" w:space="0" w:color="auto"/>
              <w:left w:val="single" w:sz="4" w:space="0" w:color="auto"/>
              <w:bottom w:val="single" w:sz="4" w:space="0" w:color="auto"/>
              <w:right w:val="single" w:sz="4" w:space="0" w:color="auto"/>
            </w:tcBorders>
            <w:hideMark/>
          </w:tcPr>
          <w:p w14:paraId="4E2AC450" w14:textId="77777777" w:rsidR="00112DFF" w:rsidRPr="001E5BD6" w:rsidRDefault="00112DFF" w:rsidP="00112DFF">
            <w:pPr>
              <w:spacing w:before="120" w:after="120" w:line="259" w:lineRule="auto"/>
              <w:rPr>
                <w:b/>
              </w:rPr>
            </w:pPr>
            <w:r w:rsidRPr="001E5BD6">
              <w:rPr>
                <w:b/>
              </w:rPr>
              <w:t>D4/ pond</w:t>
            </w:r>
          </w:p>
        </w:tc>
        <w:tc>
          <w:tcPr>
            <w:tcW w:w="1701" w:type="dxa"/>
            <w:vMerge/>
            <w:tcBorders>
              <w:top w:val="single" w:sz="4" w:space="0" w:color="auto"/>
              <w:left w:val="single" w:sz="4" w:space="0" w:color="auto"/>
              <w:bottom w:val="single" w:sz="4" w:space="0" w:color="auto"/>
              <w:right w:val="single" w:sz="4" w:space="0" w:color="auto"/>
            </w:tcBorders>
            <w:vAlign w:val="center"/>
          </w:tcPr>
          <w:p w14:paraId="59BA0608" w14:textId="77777777"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center"/>
          </w:tcPr>
          <w:p w14:paraId="508639FF" w14:textId="3EF03E38"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bottom"/>
          </w:tcPr>
          <w:p w14:paraId="486BC45A" w14:textId="44565463"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69588CEE" w14:textId="1BCA8B7F"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0523774F" w14:textId="79E686B3" w:rsidR="00112DFF" w:rsidRPr="00D97492" w:rsidRDefault="00112DFF" w:rsidP="00112DFF">
            <w:pPr>
              <w:spacing w:before="120" w:after="120" w:line="259" w:lineRule="auto"/>
            </w:pPr>
          </w:p>
        </w:tc>
      </w:tr>
      <w:tr w:rsidR="00112DFF" w:rsidRPr="00D97492" w14:paraId="462BBD16" w14:textId="77777777" w:rsidTr="00A03776">
        <w:trPr>
          <w:trHeight w:val="375"/>
        </w:trPr>
        <w:tc>
          <w:tcPr>
            <w:tcW w:w="1843" w:type="dxa"/>
            <w:tcBorders>
              <w:top w:val="single" w:sz="4" w:space="0" w:color="auto"/>
              <w:left w:val="single" w:sz="4" w:space="0" w:color="auto"/>
              <w:bottom w:val="single" w:sz="4" w:space="0" w:color="auto"/>
              <w:right w:val="single" w:sz="4" w:space="0" w:color="auto"/>
            </w:tcBorders>
            <w:hideMark/>
          </w:tcPr>
          <w:p w14:paraId="1597FEC4" w14:textId="77777777" w:rsidR="00112DFF" w:rsidRPr="001E5BD6" w:rsidRDefault="00112DFF" w:rsidP="00112DFF">
            <w:pPr>
              <w:spacing w:before="120" w:after="120" w:line="259" w:lineRule="auto"/>
              <w:rPr>
                <w:b/>
              </w:rPr>
            </w:pPr>
            <w:r w:rsidRPr="001E5BD6">
              <w:rPr>
                <w:b/>
              </w:rPr>
              <w:t>D4/ stream</w:t>
            </w:r>
          </w:p>
        </w:tc>
        <w:tc>
          <w:tcPr>
            <w:tcW w:w="1701" w:type="dxa"/>
            <w:vMerge/>
            <w:tcBorders>
              <w:top w:val="single" w:sz="4" w:space="0" w:color="auto"/>
              <w:left w:val="single" w:sz="4" w:space="0" w:color="auto"/>
              <w:bottom w:val="single" w:sz="4" w:space="0" w:color="auto"/>
              <w:right w:val="single" w:sz="4" w:space="0" w:color="auto"/>
            </w:tcBorders>
            <w:vAlign w:val="center"/>
          </w:tcPr>
          <w:p w14:paraId="0315735B" w14:textId="77777777"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center"/>
          </w:tcPr>
          <w:p w14:paraId="68F72ED7" w14:textId="715B6C2A"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bottom"/>
          </w:tcPr>
          <w:p w14:paraId="6DCCE491" w14:textId="5E90BACE"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6869862F" w14:textId="2399CE6C"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334DAE7D" w14:textId="218FC589" w:rsidR="00112DFF" w:rsidRPr="00D97492" w:rsidRDefault="00112DFF" w:rsidP="00112DFF">
            <w:pPr>
              <w:spacing w:before="120" w:after="120" w:line="259" w:lineRule="auto"/>
              <w:rPr>
                <w:b/>
                <w:bCs/>
              </w:rPr>
            </w:pPr>
          </w:p>
        </w:tc>
      </w:tr>
      <w:tr w:rsidR="00112DFF" w:rsidRPr="00D97492" w14:paraId="18206790" w14:textId="77777777" w:rsidTr="00A03776">
        <w:trPr>
          <w:trHeight w:val="375"/>
        </w:trPr>
        <w:tc>
          <w:tcPr>
            <w:tcW w:w="1843" w:type="dxa"/>
            <w:tcBorders>
              <w:top w:val="single" w:sz="4" w:space="0" w:color="auto"/>
              <w:left w:val="single" w:sz="4" w:space="0" w:color="auto"/>
              <w:bottom w:val="single" w:sz="4" w:space="0" w:color="auto"/>
              <w:right w:val="single" w:sz="4" w:space="0" w:color="auto"/>
            </w:tcBorders>
            <w:hideMark/>
          </w:tcPr>
          <w:p w14:paraId="1701E05E" w14:textId="77777777" w:rsidR="00112DFF" w:rsidRPr="001E5BD6" w:rsidRDefault="00112DFF" w:rsidP="00112DFF">
            <w:pPr>
              <w:spacing w:before="120" w:after="120" w:line="259" w:lineRule="auto"/>
              <w:rPr>
                <w:b/>
              </w:rPr>
            </w:pPr>
            <w:r w:rsidRPr="001E5BD6">
              <w:rPr>
                <w:b/>
              </w:rPr>
              <w:t>D5/ pond</w:t>
            </w:r>
          </w:p>
        </w:tc>
        <w:tc>
          <w:tcPr>
            <w:tcW w:w="1701" w:type="dxa"/>
            <w:vMerge/>
            <w:tcBorders>
              <w:top w:val="single" w:sz="4" w:space="0" w:color="auto"/>
              <w:left w:val="single" w:sz="4" w:space="0" w:color="auto"/>
              <w:bottom w:val="single" w:sz="4" w:space="0" w:color="auto"/>
              <w:right w:val="single" w:sz="4" w:space="0" w:color="auto"/>
            </w:tcBorders>
            <w:vAlign w:val="center"/>
          </w:tcPr>
          <w:p w14:paraId="3E0934CA" w14:textId="77777777"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center"/>
          </w:tcPr>
          <w:p w14:paraId="023AFD88" w14:textId="4C2658C4"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bottom"/>
          </w:tcPr>
          <w:p w14:paraId="2C1CFD36" w14:textId="4A26C37C"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6F2AB9F0" w14:textId="61A9CCE8"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552C1B4E" w14:textId="5B5186B6" w:rsidR="00112DFF" w:rsidRPr="00D97492" w:rsidRDefault="00112DFF" w:rsidP="00112DFF">
            <w:pPr>
              <w:spacing w:before="120" w:after="120" w:line="259" w:lineRule="auto"/>
            </w:pPr>
          </w:p>
        </w:tc>
      </w:tr>
      <w:tr w:rsidR="00112DFF" w:rsidRPr="00D97492" w14:paraId="675E1255" w14:textId="77777777" w:rsidTr="00A03776">
        <w:trPr>
          <w:trHeight w:val="375"/>
        </w:trPr>
        <w:tc>
          <w:tcPr>
            <w:tcW w:w="1843" w:type="dxa"/>
            <w:tcBorders>
              <w:top w:val="single" w:sz="4" w:space="0" w:color="auto"/>
              <w:left w:val="single" w:sz="4" w:space="0" w:color="auto"/>
              <w:bottom w:val="single" w:sz="4" w:space="0" w:color="auto"/>
              <w:right w:val="single" w:sz="4" w:space="0" w:color="auto"/>
            </w:tcBorders>
            <w:hideMark/>
          </w:tcPr>
          <w:p w14:paraId="2E31CC31" w14:textId="77777777" w:rsidR="00112DFF" w:rsidRPr="001E5BD6" w:rsidRDefault="00112DFF" w:rsidP="00112DFF">
            <w:pPr>
              <w:spacing w:before="120" w:after="120" w:line="259" w:lineRule="auto"/>
              <w:rPr>
                <w:b/>
              </w:rPr>
            </w:pPr>
            <w:r w:rsidRPr="001E5BD6">
              <w:rPr>
                <w:b/>
              </w:rPr>
              <w:t>D5/ stream</w:t>
            </w:r>
          </w:p>
        </w:tc>
        <w:tc>
          <w:tcPr>
            <w:tcW w:w="1701" w:type="dxa"/>
            <w:vMerge/>
            <w:tcBorders>
              <w:top w:val="single" w:sz="4" w:space="0" w:color="auto"/>
              <w:left w:val="single" w:sz="4" w:space="0" w:color="auto"/>
              <w:bottom w:val="single" w:sz="4" w:space="0" w:color="auto"/>
              <w:right w:val="single" w:sz="4" w:space="0" w:color="auto"/>
            </w:tcBorders>
            <w:vAlign w:val="center"/>
          </w:tcPr>
          <w:p w14:paraId="47733537" w14:textId="77777777"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center"/>
          </w:tcPr>
          <w:p w14:paraId="29CD4869" w14:textId="2DE892E2"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bottom"/>
          </w:tcPr>
          <w:p w14:paraId="435FBE49" w14:textId="36BDE435"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4B13BDB3" w14:textId="02273F8E"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4F616B4C" w14:textId="7628468B" w:rsidR="00112DFF" w:rsidRPr="00D97492" w:rsidRDefault="00112DFF" w:rsidP="00112DFF">
            <w:pPr>
              <w:spacing w:before="120" w:after="120" w:line="259" w:lineRule="auto"/>
              <w:rPr>
                <w:b/>
                <w:bCs/>
              </w:rPr>
            </w:pPr>
          </w:p>
        </w:tc>
      </w:tr>
      <w:tr w:rsidR="00112DFF" w:rsidRPr="00D97492" w14:paraId="6EAEAF17" w14:textId="77777777" w:rsidTr="00A03776">
        <w:trPr>
          <w:trHeight w:val="375"/>
        </w:trPr>
        <w:tc>
          <w:tcPr>
            <w:tcW w:w="1843" w:type="dxa"/>
            <w:tcBorders>
              <w:top w:val="single" w:sz="4" w:space="0" w:color="auto"/>
              <w:left w:val="single" w:sz="4" w:space="0" w:color="auto"/>
              <w:bottom w:val="single" w:sz="4" w:space="0" w:color="auto"/>
              <w:right w:val="single" w:sz="4" w:space="0" w:color="auto"/>
            </w:tcBorders>
            <w:hideMark/>
          </w:tcPr>
          <w:p w14:paraId="1EF22AE9" w14:textId="77777777" w:rsidR="00112DFF" w:rsidRPr="001E5BD6" w:rsidRDefault="00112DFF" w:rsidP="00112DFF">
            <w:pPr>
              <w:spacing w:before="120" w:after="120" w:line="259" w:lineRule="auto"/>
              <w:rPr>
                <w:b/>
              </w:rPr>
            </w:pPr>
            <w:r w:rsidRPr="001E5BD6">
              <w:rPr>
                <w:b/>
              </w:rPr>
              <w:t>D6/ ditch</w:t>
            </w:r>
          </w:p>
        </w:tc>
        <w:tc>
          <w:tcPr>
            <w:tcW w:w="1701" w:type="dxa"/>
            <w:vMerge/>
            <w:tcBorders>
              <w:top w:val="single" w:sz="4" w:space="0" w:color="auto"/>
              <w:left w:val="single" w:sz="4" w:space="0" w:color="auto"/>
              <w:bottom w:val="single" w:sz="4" w:space="0" w:color="auto"/>
              <w:right w:val="single" w:sz="4" w:space="0" w:color="auto"/>
            </w:tcBorders>
            <w:vAlign w:val="center"/>
          </w:tcPr>
          <w:p w14:paraId="4B64F2ED" w14:textId="77777777"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center"/>
          </w:tcPr>
          <w:p w14:paraId="7AC85678" w14:textId="1E5BE666"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bottom"/>
          </w:tcPr>
          <w:p w14:paraId="72AA3AC4" w14:textId="5DA50273"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079D771B" w14:textId="16733AD7"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3EEEEAB3" w14:textId="4E57B979" w:rsidR="00112DFF" w:rsidRPr="00D97492" w:rsidRDefault="00112DFF" w:rsidP="00112DFF">
            <w:pPr>
              <w:spacing w:before="120" w:after="120" w:line="259" w:lineRule="auto"/>
              <w:rPr>
                <w:b/>
                <w:bCs/>
              </w:rPr>
            </w:pPr>
          </w:p>
        </w:tc>
      </w:tr>
      <w:tr w:rsidR="00112DFF" w:rsidRPr="00D97492" w14:paraId="7CD0514A" w14:textId="77777777" w:rsidTr="00A03776">
        <w:trPr>
          <w:trHeight w:val="375"/>
        </w:trPr>
        <w:tc>
          <w:tcPr>
            <w:tcW w:w="1843" w:type="dxa"/>
            <w:tcBorders>
              <w:top w:val="single" w:sz="4" w:space="0" w:color="auto"/>
              <w:left w:val="single" w:sz="4" w:space="0" w:color="auto"/>
              <w:bottom w:val="single" w:sz="4" w:space="0" w:color="auto"/>
              <w:right w:val="single" w:sz="4" w:space="0" w:color="auto"/>
            </w:tcBorders>
            <w:hideMark/>
          </w:tcPr>
          <w:p w14:paraId="3E7FEBEF" w14:textId="77777777" w:rsidR="00112DFF" w:rsidRPr="001E5BD6" w:rsidRDefault="00112DFF" w:rsidP="00112DFF">
            <w:pPr>
              <w:spacing w:before="120" w:after="120" w:line="259" w:lineRule="auto"/>
              <w:rPr>
                <w:b/>
              </w:rPr>
            </w:pPr>
            <w:r w:rsidRPr="001E5BD6">
              <w:rPr>
                <w:b/>
              </w:rPr>
              <w:t>R1/ pond</w:t>
            </w:r>
          </w:p>
        </w:tc>
        <w:tc>
          <w:tcPr>
            <w:tcW w:w="1701" w:type="dxa"/>
            <w:vMerge/>
            <w:tcBorders>
              <w:top w:val="single" w:sz="4" w:space="0" w:color="auto"/>
              <w:left w:val="single" w:sz="4" w:space="0" w:color="auto"/>
              <w:bottom w:val="single" w:sz="4" w:space="0" w:color="auto"/>
              <w:right w:val="single" w:sz="4" w:space="0" w:color="auto"/>
            </w:tcBorders>
            <w:vAlign w:val="center"/>
          </w:tcPr>
          <w:p w14:paraId="4C8AFCED" w14:textId="77777777"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center"/>
          </w:tcPr>
          <w:p w14:paraId="0B15E66B" w14:textId="4B9120DD"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bottom"/>
          </w:tcPr>
          <w:p w14:paraId="623553F0" w14:textId="1A04F754"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32E1F974" w14:textId="64B1F4B0"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222B93C2" w14:textId="46A28AC1" w:rsidR="00112DFF" w:rsidRPr="00D97492" w:rsidRDefault="00112DFF" w:rsidP="00112DFF">
            <w:pPr>
              <w:spacing w:before="120" w:after="120" w:line="259" w:lineRule="auto"/>
              <w:rPr>
                <w:b/>
                <w:bCs/>
              </w:rPr>
            </w:pPr>
          </w:p>
        </w:tc>
      </w:tr>
      <w:tr w:rsidR="00112DFF" w:rsidRPr="00D97492" w14:paraId="5FFC081B" w14:textId="77777777" w:rsidTr="00A03776">
        <w:trPr>
          <w:trHeight w:val="375"/>
        </w:trPr>
        <w:tc>
          <w:tcPr>
            <w:tcW w:w="1843" w:type="dxa"/>
            <w:tcBorders>
              <w:top w:val="single" w:sz="4" w:space="0" w:color="auto"/>
              <w:left w:val="single" w:sz="4" w:space="0" w:color="auto"/>
              <w:bottom w:val="single" w:sz="4" w:space="0" w:color="auto"/>
              <w:right w:val="single" w:sz="4" w:space="0" w:color="auto"/>
            </w:tcBorders>
            <w:hideMark/>
          </w:tcPr>
          <w:p w14:paraId="5ECB7F96" w14:textId="77777777" w:rsidR="00112DFF" w:rsidRPr="001E5BD6" w:rsidRDefault="00112DFF" w:rsidP="00112DFF">
            <w:pPr>
              <w:spacing w:before="120" w:after="120" w:line="259" w:lineRule="auto"/>
              <w:rPr>
                <w:b/>
              </w:rPr>
            </w:pPr>
            <w:r w:rsidRPr="001E5BD6">
              <w:rPr>
                <w:b/>
              </w:rPr>
              <w:t>R1/ stream</w:t>
            </w:r>
          </w:p>
        </w:tc>
        <w:tc>
          <w:tcPr>
            <w:tcW w:w="1701" w:type="dxa"/>
            <w:vMerge/>
            <w:tcBorders>
              <w:top w:val="single" w:sz="4" w:space="0" w:color="auto"/>
              <w:left w:val="single" w:sz="4" w:space="0" w:color="auto"/>
              <w:bottom w:val="single" w:sz="4" w:space="0" w:color="auto"/>
              <w:right w:val="single" w:sz="4" w:space="0" w:color="auto"/>
            </w:tcBorders>
            <w:vAlign w:val="center"/>
          </w:tcPr>
          <w:p w14:paraId="3FEA9980" w14:textId="77777777"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center"/>
          </w:tcPr>
          <w:p w14:paraId="260F8E94" w14:textId="3B348955"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bottom"/>
          </w:tcPr>
          <w:p w14:paraId="3DDD9DC1" w14:textId="6C274FFD"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79F9D4B8" w14:textId="2934DDA2"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00628E5C" w14:textId="19A6A5D7" w:rsidR="00112DFF" w:rsidRPr="00D97492" w:rsidRDefault="00112DFF" w:rsidP="00112DFF">
            <w:pPr>
              <w:spacing w:before="120" w:after="120" w:line="259" w:lineRule="auto"/>
              <w:rPr>
                <w:b/>
                <w:bCs/>
              </w:rPr>
            </w:pPr>
          </w:p>
        </w:tc>
      </w:tr>
      <w:tr w:rsidR="00112DFF" w:rsidRPr="00D97492" w14:paraId="60539D62" w14:textId="77777777" w:rsidTr="00A03776">
        <w:trPr>
          <w:trHeight w:val="375"/>
        </w:trPr>
        <w:tc>
          <w:tcPr>
            <w:tcW w:w="1843" w:type="dxa"/>
            <w:tcBorders>
              <w:top w:val="single" w:sz="4" w:space="0" w:color="auto"/>
              <w:left w:val="single" w:sz="4" w:space="0" w:color="auto"/>
              <w:bottom w:val="single" w:sz="4" w:space="0" w:color="auto"/>
              <w:right w:val="single" w:sz="4" w:space="0" w:color="auto"/>
            </w:tcBorders>
            <w:hideMark/>
          </w:tcPr>
          <w:p w14:paraId="62CFE5D9" w14:textId="77777777" w:rsidR="00112DFF" w:rsidRPr="001E5BD6" w:rsidRDefault="00112DFF" w:rsidP="00112DFF">
            <w:pPr>
              <w:spacing w:before="120" w:after="120" w:line="259" w:lineRule="auto"/>
              <w:rPr>
                <w:b/>
              </w:rPr>
            </w:pPr>
            <w:r w:rsidRPr="001E5BD6">
              <w:rPr>
                <w:b/>
              </w:rPr>
              <w:t>R2/ stream</w:t>
            </w:r>
          </w:p>
        </w:tc>
        <w:tc>
          <w:tcPr>
            <w:tcW w:w="1701" w:type="dxa"/>
            <w:vMerge/>
            <w:tcBorders>
              <w:top w:val="single" w:sz="4" w:space="0" w:color="auto"/>
              <w:left w:val="single" w:sz="4" w:space="0" w:color="auto"/>
              <w:bottom w:val="single" w:sz="4" w:space="0" w:color="auto"/>
              <w:right w:val="single" w:sz="4" w:space="0" w:color="auto"/>
            </w:tcBorders>
            <w:vAlign w:val="center"/>
          </w:tcPr>
          <w:p w14:paraId="5CB1AF97" w14:textId="77777777"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center"/>
          </w:tcPr>
          <w:p w14:paraId="27AA1411" w14:textId="390D752A"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bottom"/>
          </w:tcPr>
          <w:p w14:paraId="42D08C58" w14:textId="7B6DA986"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55A4E056" w14:textId="3B2AFE61"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313F3150" w14:textId="6985556C" w:rsidR="00112DFF" w:rsidRPr="00D97492" w:rsidRDefault="00112DFF" w:rsidP="00112DFF">
            <w:pPr>
              <w:spacing w:before="120" w:after="120" w:line="259" w:lineRule="auto"/>
              <w:rPr>
                <w:b/>
                <w:bCs/>
              </w:rPr>
            </w:pPr>
          </w:p>
        </w:tc>
      </w:tr>
      <w:tr w:rsidR="00112DFF" w:rsidRPr="00D97492" w14:paraId="7B4D60A2" w14:textId="77777777" w:rsidTr="00A03776">
        <w:trPr>
          <w:trHeight w:val="375"/>
        </w:trPr>
        <w:tc>
          <w:tcPr>
            <w:tcW w:w="1843" w:type="dxa"/>
            <w:tcBorders>
              <w:top w:val="single" w:sz="4" w:space="0" w:color="auto"/>
              <w:left w:val="single" w:sz="4" w:space="0" w:color="auto"/>
              <w:bottom w:val="single" w:sz="4" w:space="0" w:color="auto"/>
              <w:right w:val="single" w:sz="4" w:space="0" w:color="auto"/>
            </w:tcBorders>
            <w:hideMark/>
          </w:tcPr>
          <w:p w14:paraId="02C991D8" w14:textId="77777777" w:rsidR="00112DFF" w:rsidRPr="001E5BD6" w:rsidRDefault="00112DFF" w:rsidP="00112DFF">
            <w:pPr>
              <w:spacing w:before="120" w:after="120" w:line="259" w:lineRule="auto"/>
              <w:rPr>
                <w:b/>
              </w:rPr>
            </w:pPr>
            <w:r w:rsidRPr="001E5BD6">
              <w:rPr>
                <w:b/>
              </w:rPr>
              <w:t>R3/ stream</w:t>
            </w:r>
          </w:p>
        </w:tc>
        <w:tc>
          <w:tcPr>
            <w:tcW w:w="1701" w:type="dxa"/>
            <w:vMerge/>
            <w:tcBorders>
              <w:top w:val="single" w:sz="4" w:space="0" w:color="auto"/>
              <w:left w:val="single" w:sz="4" w:space="0" w:color="auto"/>
              <w:bottom w:val="single" w:sz="4" w:space="0" w:color="auto"/>
              <w:right w:val="single" w:sz="4" w:space="0" w:color="auto"/>
            </w:tcBorders>
            <w:vAlign w:val="center"/>
          </w:tcPr>
          <w:p w14:paraId="09ECCBC3" w14:textId="77777777"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center"/>
          </w:tcPr>
          <w:p w14:paraId="5C51A579" w14:textId="5C09BDF5"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bottom"/>
          </w:tcPr>
          <w:p w14:paraId="4345F52E" w14:textId="3827703E"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6DDBB548" w14:textId="4AAF0A35"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20C6879D" w14:textId="54548CEC" w:rsidR="00112DFF" w:rsidRPr="00D97492" w:rsidRDefault="00112DFF" w:rsidP="00112DFF">
            <w:pPr>
              <w:spacing w:before="120" w:after="120" w:line="259" w:lineRule="auto"/>
              <w:rPr>
                <w:b/>
                <w:bCs/>
              </w:rPr>
            </w:pPr>
          </w:p>
        </w:tc>
      </w:tr>
      <w:tr w:rsidR="00112DFF" w:rsidRPr="00D97492" w14:paraId="3064D451" w14:textId="77777777" w:rsidTr="00A03776">
        <w:trPr>
          <w:trHeight w:val="375"/>
        </w:trPr>
        <w:tc>
          <w:tcPr>
            <w:tcW w:w="1843" w:type="dxa"/>
            <w:tcBorders>
              <w:top w:val="single" w:sz="4" w:space="0" w:color="auto"/>
              <w:left w:val="single" w:sz="4" w:space="0" w:color="auto"/>
              <w:bottom w:val="single" w:sz="4" w:space="0" w:color="auto"/>
              <w:right w:val="single" w:sz="4" w:space="0" w:color="auto"/>
            </w:tcBorders>
            <w:hideMark/>
          </w:tcPr>
          <w:p w14:paraId="62811572" w14:textId="77777777" w:rsidR="00112DFF" w:rsidRPr="001E5BD6" w:rsidRDefault="00112DFF" w:rsidP="00112DFF">
            <w:pPr>
              <w:spacing w:before="120" w:after="120" w:line="259" w:lineRule="auto"/>
              <w:rPr>
                <w:b/>
              </w:rPr>
            </w:pPr>
            <w:r w:rsidRPr="001E5BD6">
              <w:rPr>
                <w:b/>
              </w:rPr>
              <w:t>R4/ stream</w:t>
            </w:r>
          </w:p>
        </w:tc>
        <w:tc>
          <w:tcPr>
            <w:tcW w:w="1701" w:type="dxa"/>
            <w:vMerge/>
            <w:tcBorders>
              <w:top w:val="single" w:sz="4" w:space="0" w:color="auto"/>
              <w:left w:val="single" w:sz="4" w:space="0" w:color="auto"/>
              <w:bottom w:val="single" w:sz="4" w:space="0" w:color="auto"/>
              <w:right w:val="single" w:sz="4" w:space="0" w:color="auto"/>
            </w:tcBorders>
            <w:vAlign w:val="center"/>
          </w:tcPr>
          <w:p w14:paraId="0D209427" w14:textId="77777777"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center"/>
          </w:tcPr>
          <w:p w14:paraId="35E05890" w14:textId="6D164E08" w:rsidR="00112DFF" w:rsidRPr="00D97492" w:rsidRDefault="00112DFF" w:rsidP="00112DFF">
            <w:pPr>
              <w:spacing w:before="120" w:after="120" w:line="259" w:lineRule="auto"/>
            </w:pPr>
          </w:p>
        </w:tc>
        <w:tc>
          <w:tcPr>
            <w:tcW w:w="1382" w:type="dxa"/>
            <w:tcBorders>
              <w:top w:val="single" w:sz="4" w:space="0" w:color="auto"/>
              <w:left w:val="single" w:sz="4" w:space="0" w:color="auto"/>
              <w:bottom w:val="single" w:sz="4" w:space="0" w:color="auto"/>
              <w:right w:val="single" w:sz="4" w:space="0" w:color="auto"/>
            </w:tcBorders>
            <w:vAlign w:val="bottom"/>
          </w:tcPr>
          <w:p w14:paraId="7AB24F38" w14:textId="5ACC5CF0"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25961F6A" w14:textId="517A4596" w:rsidR="00112DFF" w:rsidRPr="00D97492" w:rsidRDefault="00112DFF" w:rsidP="00112DFF">
            <w:pPr>
              <w:spacing w:before="120" w:after="120" w:line="259" w:lineRule="auto"/>
              <w:rPr>
                <w:b/>
                <w:bCs/>
              </w:rPr>
            </w:pPr>
          </w:p>
        </w:tc>
        <w:tc>
          <w:tcPr>
            <w:tcW w:w="1382" w:type="dxa"/>
            <w:tcBorders>
              <w:top w:val="single" w:sz="4" w:space="0" w:color="auto"/>
              <w:left w:val="single" w:sz="4" w:space="0" w:color="auto"/>
              <w:bottom w:val="single" w:sz="4" w:space="0" w:color="auto"/>
              <w:right w:val="single" w:sz="4" w:space="0" w:color="auto"/>
            </w:tcBorders>
            <w:noWrap/>
            <w:vAlign w:val="bottom"/>
          </w:tcPr>
          <w:p w14:paraId="0B3FF9F5" w14:textId="7CC94C1F" w:rsidR="00112DFF" w:rsidRPr="00D97492" w:rsidRDefault="00112DFF" w:rsidP="00112DFF">
            <w:pPr>
              <w:spacing w:before="120" w:after="120" w:line="259" w:lineRule="auto"/>
              <w:rPr>
                <w:b/>
                <w:bCs/>
              </w:rPr>
            </w:pPr>
          </w:p>
        </w:tc>
      </w:tr>
    </w:tbl>
    <w:p w14:paraId="42CF31BD" w14:textId="3BAD76F8" w:rsidR="005333E9" w:rsidRDefault="005333E9" w:rsidP="00AA2133">
      <w:pPr>
        <w:spacing w:before="120" w:after="120" w:line="259" w:lineRule="auto"/>
      </w:pPr>
    </w:p>
    <w:p w14:paraId="21B402CB" w14:textId="60818B46" w:rsidR="005333E9" w:rsidRDefault="005F2574" w:rsidP="00AA2133">
      <w:pPr>
        <w:pStyle w:val="Beschriftung"/>
        <w:keepNext/>
        <w:keepLines/>
        <w:spacing w:before="120" w:after="120"/>
        <w:ind w:left="1418" w:hanging="1418"/>
        <w:jc w:val="both"/>
      </w:pPr>
      <w:bookmarkStart w:id="9" w:name="_Ref37772009"/>
      <w:r w:rsidRPr="005F2574">
        <w:rPr>
          <w:sz w:val="22"/>
          <w:szCs w:val="22"/>
        </w:rPr>
        <w:t xml:space="preserve">Table </w:t>
      </w:r>
      <w:r w:rsidRPr="005F2574">
        <w:rPr>
          <w:sz w:val="22"/>
          <w:szCs w:val="22"/>
        </w:rPr>
        <w:fldChar w:fldCharType="begin"/>
      </w:r>
      <w:r w:rsidRPr="005F2574">
        <w:rPr>
          <w:sz w:val="22"/>
          <w:szCs w:val="22"/>
        </w:rPr>
        <w:instrText xml:space="preserve"> STYLEREF 4 \s </w:instrText>
      </w:r>
      <w:r w:rsidRPr="005F2574">
        <w:rPr>
          <w:sz w:val="22"/>
          <w:szCs w:val="22"/>
        </w:rPr>
        <w:fldChar w:fldCharType="separate"/>
      </w:r>
      <w:r w:rsidR="00EE5667">
        <w:rPr>
          <w:noProof/>
          <w:sz w:val="22"/>
          <w:szCs w:val="22"/>
        </w:rPr>
        <w:t>9.5.2.2</w:t>
      </w:r>
      <w:r w:rsidRPr="005F2574">
        <w:rPr>
          <w:sz w:val="22"/>
          <w:szCs w:val="22"/>
        </w:rPr>
        <w:fldChar w:fldCharType="end"/>
      </w:r>
      <w:r w:rsidRPr="005F2574">
        <w:rPr>
          <w:sz w:val="22"/>
          <w:szCs w:val="22"/>
        </w:rPr>
        <w:noBreakHyphen/>
      </w:r>
      <w:r w:rsidRPr="005F2574">
        <w:rPr>
          <w:sz w:val="22"/>
          <w:szCs w:val="22"/>
        </w:rPr>
        <w:fldChar w:fldCharType="begin"/>
      </w:r>
      <w:r w:rsidRPr="005F2574">
        <w:rPr>
          <w:sz w:val="22"/>
          <w:szCs w:val="22"/>
        </w:rPr>
        <w:instrText xml:space="preserve"> SEQ Table \* ARABIC \s 4 </w:instrText>
      </w:r>
      <w:r w:rsidRPr="005F2574">
        <w:rPr>
          <w:sz w:val="22"/>
          <w:szCs w:val="22"/>
        </w:rPr>
        <w:fldChar w:fldCharType="separate"/>
      </w:r>
      <w:r w:rsidR="00EE5667">
        <w:rPr>
          <w:noProof/>
          <w:sz w:val="22"/>
          <w:szCs w:val="22"/>
        </w:rPr>
        <w:t>4</w:t>
      </w:r>
      <w:r w:rsidRPr="005F2574">
        <w:rPr>
          <w:sz w:val="22"/>
          <w:szCs w:val="22"/>
        </w:rPr>
        <w:fldChar w:fldCharType="end"/>
      </w:r>
      <w:bookmarkEnd w:id="9"/>
      <w:r w:rsidRPr="005F2574">
        <w:rPr>
          <w:sz w:val="22"/>
          <w:szCs w:val="22"/>
        </w:rPr>
        <w:t>:</w:t>
      </w:r>
      <w:r>
        <w:rPr>
          <w:sz w:val="22"/>
          <w:szCs w:val="22"/>
        </w:rPr>
        <w:t xml:space="preserve"> </w:t>
      </w:r>
      <w:r w:rsidR="005B31E1">
        <w:rPr>
          <w:sz w:val="22"/>
          <w:szCs w:val="22"/>
        </w:rPr>
        <w:t xml:space="preserve">Summary of the mixture toxicity risk assessment (related to Step </w:t>
      </w:r>
      <w:r w:rsidR="005B31E1" w:rsidRPr="00BE0E17">
        <w:rPr>
          <w:sz w:val="22"/>
          <w:szCs w:val="22"/>
          <w:highlight w:val="yellow"/>
        </w:rPr>
        <w:t>4</w:t>
      </w:r>
      <w:r w:rsidR="005B31E1">
        <w:rPr>
          <w:sz w:val="22"/>
          <w:szCs w:val="22"/>
          <w:highlight w:val="yellow"/>
        </w:rPr>
        <w:t>/</w:t>
      </w:r>
      <w:r w:rsidR="005B31E1" w:rsidRPr="00BE0E17">
        <w:rPr>
          <w:sz w:val="22"/>
          <w:szCs w:val="22"/>
          <w:highlight w:val="yellow"/>
        </w:rPr>
        <w:t>8a/8b</w:t>
      </w:r>
      <w:r w:rsidR="005B31E1">
        <w:rPr>
          <w:sz w:val="22"/>
          <w:szCs w:val="22"/>
          <w:highlight w:val="yellow"/>
        </w:rPr>
        <w:t>)</w:t>
      </w:r>
      <w:r w:rsidR="005B31E1">
        <w:rPr>
          <w:sz w:val="22"/>
          <w:szCs w:val="22"/>
        </w:rPr>
        <w:t xml:space="preserve"> for </w:t>
      </w:r>
      <w:r w:rsidR="005B31E1">
        <w:rPr>
          <w:sz w:val="22"/>
          <w:szCs w:val="22"/>
          <w:highlight w:val="yellow"/>
        </w:rPr>
        <w:t>fish/invertebrates/algae/macrophytes,</w:t>
      </w:r>
      <w:r w:rsidR="005B31E1" w:rsidRPr="001225DD">
        <w:rPr>
          <w:sz w:val="22"/>
          <w:szCs w:val="22"/>
        </w:rPr>
        <w:t xml:space="preserve"> </w:t>
      </w:r>
      <w:r w:rsidR="005B31E1" w:rsidRPr="00F046C0">
        <w:rPr>
          <w:sz w:val="22"/>
          <w:szCs w:val="22"/>
        </w:rPr>
        <w:t xml:space="preserve">based on FOCUS Step </w:t>
      </w:r>
      <w:r w:rsidR="005B31E1" w:rsidRPr="001225DD">
        <w:rPr>
          <w:sz w:val="22"/>
          <w:szCs w:val="22"/>
        </w:rPr>
        <w:t>4</w:t>
      </w:r>
      <w:r w:rsidR="005B31E1" w:rsidRPr="00F046C0">
        <w:rPr>
          <w:sz w:val="22"/>
          <w:szCs w:val="22"/>
        </w:rPr>
        <w:t xml:space="preserve"> calculations for </w:t>
      </w:r>
      <w:r w:rsidR="005B31E1" w:rsidRPr="0091626C">
        <w:rPr>
          <w:sz w:val="22"/>
          <w:szCs w:val="22"/>
        </w:rPr>
        <w:t xml:space="preserve">application of </w:t>
      </w:r>
      <w:r w:rsidR="005B31E1" w:rsidRPr="0091626C">
        <w:rPr>
          <w:sz w:val="22"/>
          <w:szCs w:val="22"/>
          <w:highlight w:val="yellow"/>
        </w:rPr>
        <w:t>&lt;formulation&gt;</w:t>
      </w:r>
      <w:r w:rsidR="005B31E1" w:rsidRPr="00A66994">
        <w:rPr>
          <w:sz w:val="22"/>
          <w:szCs w:val="22"/>
        </w:rPr>
        <w:t xml:space="preserve"> </w:t>
      </w:r>
      <w:r w:rsidR="005B31E1" w:rsidRPr="0091626C">
        <w:rPr>
          <w:sz w:val="22"/>
          <w:szCs w:val="22"/>
        </w:rPr>
        <w:t>in</w:t>
      </w:r>
      <w:r w:rsidR="005B31E1">
        <w:rPr>
          <w:sz w:val="22"/>
          <w:szCs w:val="22"/>
        </w:rPr>
        <w:t xml:space="preserve"> </w:t>
      </w:r>
      <w:r w:rsidR="005B31E1" w:rsidRPr="003D14C4">
        <w:rPr>
          <w:sz w:val="22"/>
          <w:szCs w:val="22"/>
          <w:highlight w:val="yellow"/>
        </w:rPr>
        <w:t>&lt;crop&gt;</w:t>
      </w:r>
      <w:r w:rsidR="005B31E1" w:rsidRPr="0091626C">
        <w:rPr>
          <w:sz w:val="22"/>
          <w:szCs w:val="22"/>
        </w:rPr>
        <w:t xml:space="preserve"> </w:t>
      </w:r>
      <w:r w:rsidR="005B31E1" w:rsidRPr="00A66994">
        <w:rPr>
          <w:sz w:val="22"/>
          <w:szCs w:val="22"/>
        </w:rPr>
        <w:t>(</w:t>
      </w:r>
      <w:r w:rsidR="005B31E1">
        <w:rPr>
          <w:sz w:val="22"/>
          <w:szCs w:val="22"/>
          <w:highlight w:val="yellow"/>
        </w:rPr>
        <w:t>use/</w:t>
      </w:r>
      <w:r w:rsidR="005B31E1" w:rsidRPr="0091626C">
        <w:rPr>
          <w:sz w:val="22"/>
          <w:szCs w:val="22"/>
          <w:highlight w:val="yellow"/>
        </w:rPr>
        <w:t>use group</w:t>
      </w:r>
      <w:r w:rsidR="005B31E1" w:rsidRPr="00A66994">
        <w:rPr>
          <w:sz w:val="22"/>
          <w:szCs w:val="22"/>
        </w:rPr>
        <w:t>)</w:t>
      </w:r>
    </w:p>
    <w:tbl>
      <w:tblPr>
        <w:tblStyle w:val="Tabellenraster"/>
        <w:tblW w:w="0" w:type="auto"/>
        <w:tblLayout w:type="fixed"/>
        <w:tblLook w:val="04A0" w:firstRow="1" w:lastRow="0" w:firstColumn="1" w:lastColumn="0" w:noHBand="0" w:noVBand="1"/>
      </w:tblPr>
      <w:tblGrid>
        <w:gridCol w:w="988"/>
        <w:gridCol w:w="1168"/>
        <w:gridCol w:w="816"/>
        <w:gridCol w:w="718"/>
        <w:gridCol w:w="768"/>
        <w:gridCol w:w="767"/>
        <w:gridCol w:w="767"/>
        <w:gridCol w:w="768"/>
        <w:gridCol w:w="767"/>
        <w:gridCol w:w="767"/>
        <w:gridCol w:w="768"/>
      </w:tblGrid>
      <w:tr w:rsidR="005333E9" w:rsidRPr="001225DD" w14:paraId="338DD1F4" w14:textId="77777777" w:rsidTr="000A4436">
        <w:trPr>
          <w:trHeight w:val="375"/>
        </w:trPr>
        <w:tc>
          <w:tcPr>
            <w:tcW w:w="988" w:type="dxa"/>
            <w:hideMark/>
          </w:tcPr>
          <w:p w14:paraId="11DBE523" w14:textId="77777777" w:rsidR="005333E9" w:rsidRPr="001225DD" w:rsidRDefault="005333E9" w:rsidP="00AA2133">
            <w:pPr>
              <w:pStyle w:val="RepStandard"/>
              <w:spacing w:before="120" w:after="120"/>
              <w:rPr>
                <w:b/>
                <w:bCs/>
                <w:lang w:val="de-DE"/>
              </w:rPr>
            </w:pPr>
            <w:r>
              <w:rPr>
                <w:b/>
                <w:bCs/>
              </w:rPr>
              <w:t>FOCUS Step 4</w:t>
            </w:r>
          </w:p>
        </w:tc>
        <w:tc>
          <w:tcPr>
            <w:tcW w:w="1168" w:type="dxa"/>
            <w:hideMark/>
          </w:tcPr>
          <w:p w14:paraId="3BF23CD1" w14:textId="77777777" w:rsidR="005333E9" w:rsidRPr="001225DD" w:rsidRDefault="005333E9" w:rsidP="00AA2133">
            <w:pPr>
              <w:pStyle w:val="RepStandard"/>
              <w:spacing w:before="120" w:after="120"/>
              <w:rPr>
                <w:b/>
                <w:bCs/>
              </w:rPr>
            </w:pPr>
            <w:r w:rsidRPr="001225DD">
              <w:rPr>
                <w:b/>
                <w:bCs/>
              </w:rPr>
              <w:t>Scenario</w:t>
            </w:r>
          </w:p>
        </w:tc>
        <w:tc>
          <w:tcPr>
            <w:tcW w:w="6906" w:type="dxa"/>
            <w:gridSpan w:val="9"/>
            <w:hideMark/>
          </w:tcPr>
          <w:p w14:paraId="5713F43E" w14:textId="77777777" w:rsidR="005333E9" w:rsidRPr="001225DD" w:rsidRDefault="005333E9" w:rsidP="005B31E1">
            <w:pPr>
              <w:pStyle w:val="RepStandard"/>
              <w:spacing w:before="120" w:after="120"/>
              <w:jc w:val="center"/>
              <w:rPr>
                <w:b/>
                <w:bCs/>
              </w:rPr>
            </w:pPr>
            <w:proofErr w:type="spellStart"/>
            <w:r w:rsidRPr="00BE0E17">
              <w:rPr>
                <w:b/>
                <w:bCs/>
                <w:highlight w:val="yellow"/>
              </w:rPr>
              <w:t>ETR</w:t>
            </w:r>
            <w:r w:rsidRPr="0091626C">
              <w:rPr>
                <w:b/>
                <w:bCs/>
                <w:highlight w:val="yellow"/>
                <w:vertAlign w:val="subscript"/>
              </w:rPr>
              <w:t>mix</w:t>
            </w:r>
            <w:proofErr w:type="spellEnd"/>
            <w:r w:rsidRPr="0091626C">
              <w:rPr>
                <w:b/>
                <w:bCs/>
                <w:highlight w:val="yellow"/>
                <w:vertAlign w:val="subscript"/>
              </w:rPr>
              <w:t>-PPP</w:t>
            </w:r>
            <w:r w:rsidRPr="00BE0E17">
              <w:rPr>
                <w:b/>
                <w:bCs/>
                <w:highlight w:val="yellow"/>
              </w:rPr>
              <w:t xml:space="preserve"> or </w:t>
            </w:r>
            <w:proofErr w:type="spellStart"/>
            <w:r w:rsidRPr="00BE0E17">
              <w:rPr>
                <w:b/>
                <w:bCs/>
                <w:highlight w:val="yellow"/>
              </w:rPr>
              <w:t>ETR</w:t>
            </w:r>
            <w:r w:rsidRPr="0091626C">
              <w:rPr>
                <w:b/>
                <w:bCs/>
                <w:highlight w:val="yellow"/>
                <w:vertAlign w:val="subscript"/>
              </w:rPr>
              <w:t>mix</w:t>
            </w:r>
            <w:proofErr w:type="spellEnd"/>
            <w:r w:rsidRPr="0091626C">
              <w:rPr>
                <w:b/>
                <w:bCs/>
                <w:highlight w:val="yellow"/>
                <w:vertAlign w:val="subscript"/>
              </w:rPr>
              <w:t>-CA</w:t>
            </w:r>
            <w:r w:rsidRPr="00BE0E17">
              <w:rPr>
                <w:b/>
                <w:bCs/>
                <w:highlight w:val="yellow"/>
              </w:rPr>
              <w:t xml:space="preserve"> or </w:t>
            </w:r>
            <w:proofErr w:type="spellStart"/>
            <w:r w:rsidRPr="00BE0E17">
              <w:rPr>
                <w:b/>
                <w:bCs/>
                <w:highlight w:val="yellow"/>
              </w:rPr>
              <w:t>RQ</w:t>
            </w:r>
            <w:r w:rsidRPr="0091626C">
              <w:rPr>
                <w:b/>
                <w:bCs/>
                <w:highlight w:val="yellow"/>
                <w:vertAlign w:val="subscript"/>
              </w:rPr>
              <w:t>mix</w:t>
            </w:r>
            <w:proofErr w:type="spellEnd"/>
          </w:p>
        </w:tc>
      </w:tr>
      <w:tr w:rsidR="000A4436" w:rsidRPr="001225DD" w14:paraId="36FE025C" w14:textId="77777777" w:rsidTr="000A4436">
        <w:trPr>
          <w:trHeight w:val="675"/>
        </w:trPr>
        <w:tc>
          <w:tcPr>
            <w:tcW w:w="988" w:type="dxa"/>
            <w:vMerge w:val="restart"/>
            <w:vAlign w:val="center"/>
            <w:hideMark/>
          </w:tcPr>
          <w:p w14:paraId="62BC58E7" w14:textId="5FEA4E9B" w:rsidR="000A4436" w:rsidRPr="001225DD" w:rsidRDefault="000A4436" w:rsidP="00AA2133">
            <w:pPr>
              <w:pStyle w:val="RepStandard"/>
              <w:spacing w:before="120" w:after="120"/>
              <w:jc w:val="left"/>
              <w:rPr>
                <w:b/>
                <w:bCs/>
              </w:rPr>
            </w:pPr>
            <w:r w:rsidRPr="001225DD">
              <w:rPr>
                <w:b/>
                <w:bCs/>
              </w:rPr>
              <w:t>Nozzle</w:t>
            </w:r>
            <w:r>
              <w:rPr>
                <w:b/>
                <w:bCs/>
              </w:rPr>
              <w:br/>
            </w:r>
            <w:r w:rsidRPr="001225DD">
              <w:rPr>
                <w:b/>
                <w:bCs/>
              </w:rPr>
              <w:t>reduction</w:t>
            </w:r>
          </w:p>
        </w:tc>
        <w:tc>
          <w:tcPr>
            <w:tcW w:w="1168" w:type="dxa"/>
            <w:hideMark/>
          </w:tcPr>
          <w:p w14:paraId="6EAB78E5" w14:textId="77777777" w:rsidR="000A4436" w:rsidRPr="001225DD" w:rsidRDefault="000A4436" w:rsidP="00AA2133">
            <w:pPr>
              <w:pStyle w:val="RepStandard"/>
              <w:spacing w:before="120" w:after="120"/>
              <w:rPr>
                <w:b/>
                <w:bCs/>
              </w:rPr>
            </w:pPr>
            <w:r w:rsidRPr="001225DD">
              <w:rPr>
                <w:b/>
                <w:bCs/>
              </w:rPr>
              <w:t>Vegetative strip [m]</w:t>
            </w:r>
          </w:p>
        </w:tc>
        <w:tc>
          <w:tcPr>
            <w:tcW w:w="816" w:type="dxa"/>
            <w:hideMark/>
          </w:tcPr>
          <w:p w14:paraId="4349E75F" w14:textId="77777777" w:rsidR="000A4436" w:rsidRPr="001225DD" w:rsidRDefault="000A4436" w:rsidP="00AA2133">
            <w:pPr>
              <w:pStyle w:val="RepStandard"/>
              <w:spacing w:before="120" w:after="120"/>
              <w:rPr>
                <w:b/>
                <w:bCs/>
              </w:rPr>
            </w:pPr>
            <w:r w:rsidRPr="001225DD">
              <w:rPr>
                <w:b/>
                <w:bCs/>
              </w:rPr>
              <w:t>None</w:t>
            </w:r>
          </w:p>
        </w:tc>
        <w:tc>
          <w:tcPr>
            <w:tcW w:w="718" w:type="dxa"/>
            <w:hideMark/>
          </w:tcPr>
          <w:p w14:paraId="053DFCDC" w14:textId="77777777" w:rsidR="000A4436" w:rsidRPr="001225DD" w:rsidRDefault="000A4436" w:rsidP="00AA2133">
            <w:pPr>
              <w:pStyle w:val="RepStandard"/>
              <w:spacing w:before="120" w:after="120"/>
              <w:rPr>
                <w:b/>
                <w:bCs/>
              </w:rPr>
            </w:pPr>
            <w:r w:rsidRPr="001225DD">
              <w:rPr>
                <w:b/>
                <w:bCs/>
              </w:rPr>
              <w:t>None</w:t>
            </w:r>
          </w:p>
        </w:tc>
        <w:tc>
          <w:tcPr>
            <w:tcW w:w="768" w:type="dxa"/>
            <w:hideMark/>
          </w:tcPr>
          <w:p w14:paraId="361A3321" w14:textId="77777777" w:rsidR="000A4436" w:rsidRPr="001225DD" w:rsidRDefault="000A4436" w:rsidP="00AA2133">
            <w:pPr>
              <w:pStyle w:val="RepStandard"/>
              <w:spacing w:before="120" w:after="120"/>
              <w:rPr>
                <w:b/>
                <w:bCs/>
              </w:rPr>
            </w:pPr>
            <w:r w:rsidRPr="001225DD">
              <w:rPr>
                <w:b/>
                <w:bCs/>
              </w:rPr>
              <w:t>None</w:t>
            </w:r>
          </w:p>
        </w:tc>
        <w:tc>
          <w:tcPr>
            <w:tcW w:w="767" w:type="dxa"/>
            <w:hideMark/>
          </w:tcPr>
          <w:p w14:paraId="26283D1A" w14:textId="77777777" w:rsidR="000A4436" w:rsidRPr="001225DD" w:rsidRDefault="000A4436" w:rsidP="00AA2133">
            <w:pPr>
              <w:pStyle w:val="RepStandard"/>
              <w:spacing w:before="120" w:after="120"/>
              <w:rPr>
                <w:b/>
                <w:bCs/>
              </w:rPr>
            </w:pPr>
            <w:r w:rsidRPr="001225DD">
              <w:rPr>
                <w:b/>
                <w:bCs/>
              </w:rPr>
              <w:t>None</w:t>
            </w:r>
          </w:p>
        </w:tc>
        <w:tc>
          <w:tcPr>
            <w:tcW w:w="767" w:type="dxa"/>
            <w:hideMark/>
          </w:tcPr>
          <w:p w14:paraId="70BCC630" w14:textId="77777777" w:rsidR="000A4436" w:rsidRPr="001225DD" w:rsidRDefault="000A4436" w:rsidP="00AA2133">
            <w:pPr>
              <w:pStyle w:val="RepStandard"/>
              <w:spacing w:before="120" w:after="120"/>
              <w:rPr>
                <w:b/>
                <w:bCs/>
              </w:rPr>
            </w:pPr>
            <w:r w:rsidRPr="001225DD">
              <w:rPr>
                <w:b/>
                <w:bCs/>
              </w:rPr>
              <w:t>None</w:t>
            </w:r>
          </w:p>
        </w:tc>
        <w:tc>
          <w:tcPr>
            <w:tcW w:w="768" w:type="dxa"/>
            <w:hideMark/>
          </w:tcPr>
          <w:p w14:paraId="150C250A" w14:textId="77777777" w:rsidR="000A4436" w:rsidRPr="001225DD" w:rsidRDefault="000A4436" w:rsidP="00AA2133">
            <w:pPr>
              <w:pStyle w:val="RepStandard"/>
              <w:spacing w:before="120" w:after="120"/>
              <w:rPr>
                <w:b/>
                <w:bCs/>
              </w:rPr>
            </w:pPr>
            <w:r w:rsidRPr="001225DD">
              <w:rPr>
                <w:b/>
                <w:bCs/>
              </w:rPr>
              <w:t>5</w:t>
            </w:r>
          </w:p>
        </w:tc>
        <w:tc>
          <w:tcPr>
            <w:tcW w:w="767" w:type="dxa"/>
            <w:hideMark/>
          </w:tcPr>
          <w:p w14:paraId="0DF59F04" w14:textId="77777777" w:rsidR="000A4436" w:rsidRPr="001225DD" w:rsidRDefault="000A4436" w:rsidP="00AA2133">
            <w:pPr>
              <w:pStyle w:val="RepStandard"/>
              <w:spacing w:before="120" w:after="120"/>
              <w:rPr>
                <w:b/>
                <w:bCs/>
              </w:rPr>
            </w:pPr>
            <w:r w:rsidRPr="001225DD">
              <w:rPr>
                <w:b/>
                <w:bCs/>
              </w:rPr>
              <w:t>10</w:t>
            </w:r>
          </w:p>
        </w:tc>
        <w:tc>
          <w:tcPr>
            <w:tcW w:w="767" w:type="dxa"/>
            <w:hideMark/>
          </w:tcPr>
          <w:p w14:paraId="22E220A4" w14:textId="77777777" w:rsidR="000A4436" w:rsidRPr="001225DD" w:rsidRDefault="000A4436" w:rsidP="00AA2133">
            <w:pPr>
              <w:pStyle w:val="RepStandard"/>
              <w:spacing w:before="120" w:after="120"/>
              <w:rPr>
                <w:b/>
                <w:bCs/>
              </w:rPr>
            </w:pPr>
            <w:r w:rsidRPr="001225DD">
              <w:rPr>
                <w:b/>
                <w:bCs/>
              </w:rPr>
              <w:t>15</w:t>
            </w:r>
          </w:p>
        </w:tc>
        <w:tc>
          <w:tcPr>
            <w:tcW w:w="768" w:type="dxa"/>
            <w:hideMark/>
          </w:tcPr>
          <w:p w14:paraId="580AF24B" w14:textId="77777777" w:rsidR="000A4436" w:rsidRPr="001225DD" w:rsidRDefault="000A4436" w:rsidP="00AA2133">
            <w:pPr>
              <w:pStyle w:val="RepStandard"/>
              <w:spacing w:before="120" w:after="120"/>
              <w:rPr>
                <w:b/>
                <w:bCs/>
              </w:rPr>
            </w:pPr>
            <w:r w:rsidRPr="001225DD">
              <w:rPr>
                <w:b/>
                <w:bCs/>
              </w:rPr>
              <w:t>20</w:t>
            </w:r>
          </w:p>
        </w:tc>
      </w:tr>
      <w:tr w:rsidR="000A4436" w:rsidRPr="001225DD" w14:paraId="7FE5B26E" w14:textId="77777777" w:rsidTr="000A4436">
        <w:trPr>
          <w:trHeight w:val="675"/>
        </w:trPr>
        <w:tc>
          <w:tcPr>
            <w:tcW w:w="988" w:type="dxa"/>
            <w:vMerge/>
            <w:hideMark/>
          </w:tcPr>
          <w:p w14:paraId="49AD5877" w14:textId="52144688" w:rsidR="000A4436" w:rsidRPr="001225DD" w:rsidRDefault="000A4436" w:rsidP="00AA2133">
            <w:pPr>
              <w:pStyle w:val="RepStandard"/>
              <w:spacing w:before="120" w:after="120"/>
              <w:rPr>
                <w:b/>
                <w:bCs/>
              </w:rPr>
            </w:pPr>
          </w:p>
        </w:tc>
        <w:tc>
          <w:tcPr>
            <w:tcW w:w="1168" w:type="dxa"/>
            <w:hideMark/>
          </w:tcPr>
          <w:p w14:paraId="1A27AD4B" w14:textId="77777777" w:rsidR="000A4436" w:rsidRPr="001225DD" w:rsidRDefault="000A4436" w:rsidP="00AA2133">
            <w:pPr>
              <w:pStyle w:val="RepStandard"/>
              <w:spacing w:before="120" w:after="120"/>
              <w:rPr>
                <w:b/>
                <w:bCs/>
              </w:rPr>
            </w:pPr>
            <w:r w:rsidRPr="001225DD">
              <w:rPr>
                <w:b/>
                <w:bCs/>
              </w:rPr>
              <w:t>No spray buffer [m]</w:t>
            </w:r>
          </w:p>
        </w:tc>
        <w:tc>
          <w:tcPr>
            <w:tcW w:w="816" w:type="dxa"/>
            <w:hideMark/>
          </w:tcPr>
          <w:p w14:paraId="7F2FC479" w14:textId="77777777" w:rsidR="000A4436" w:rsidRPr="001225DD" w:rsidRDefault="000A4436" w:rsidP="00AA2133">
            <w:pPr>
              <w:pStyle w:val="RepStandard"/>
              <w:spacing w:before="120" w:after="120"/>
              <w:rPr>
                <w:b/>
                <w:bCs/>
              </w:rPr>
            </w:pPr>
            <w:r>
              <w:rPr>
                <w:b/>
                <w:bCs/>
              </w:rPr>
              <w:t xml:space="preserve">None, </w:t>
            </w:r>
            <w:r>
              <w:rPr>
                <w:b/>
                <w:bCs/>
              </w:rPr>
              <w:br/>
              <w:t>default</w:t>
            </w:r>
          </w:p>
        </w:tc>
        <w:tc>
          <w:tcPr>
            <w:tcW w:w="718" w:type="dxa"/>
            <w:hideMark/>
          </w:tcPr>
          <w:p w14:paraId="669158EE" w14:textId="77777777" w:rsidR="000A4436" w:rsidRPr="001225DD" w:rsidRDefault="000A4436" w:rsidP="00AA2133">
            <w:pPr>
              <w:pStyle w:val="RepStandard"/>
              <w:spacing w:before="120" w:after="120"/>
              <w:rPr>
                <w:b/>
                <w:bCs/>
              </w:rPr>
            </w:pPr>
            <w:r w:rsidRPr="001225DD">
              <w:rPr>
                <w:b/>
                <w:bCs/>
              </w:rPr>
              <w:t>5</w:t>
            </w:r>
          </w:p>
        </w:tc>
        <w:tc>
          <w:tcPr>
            <w:tcW w:w="768" w:type="dxa"/>
            <w:hideMark/>
          </w:tcPr>
          <w:p w14:paraId="710D8FC7" w14:textId="77777777" w:rsidR="000A4436" w:rsidRPr="001225DD" w:rsidRDefault="000A4436" w:rsidP="00AA2133">
            <w:pPr>
              <w:pStyle w:val="RepStandard"/>
              <w:spacing w:before="120" w:after="120"/>
              <w:rPr>
                <w:b/>
                <w:bCs/>
              </w:rPr>
            </w:pPr>
            <w:r w:rsidRPr="001225DD">
              <w:rPr>
                <w:b/>
                <w:bCs/>
              </w:rPr>
              <w:t>10</w:t>
            </w:r>
          </w:p>
        </w:tc>
        <w:tc>
          <w:tcPr>
            <w:tcW w:w="767" w:type="dxa"/>
            <w:hideMark/>
          </w:tcPr>
          <w:p w14:paraId="3051C605" w14:textId="77777777" w:rsidR="000A4436" w:rsidRPr="001225DD" w:rsidRDefault="000A4436" w:rsidP="00AA2133">
            <w:pPr>
              <w:pStyle w:val="RepStandard"/>
              <w:spacing w:before="120" w:after="120"/>
              <w:rPr>
                <w:b/>
                <w:bCs/>
              </w:rPr>
            </w:pPr>
            <w:r w:rsidRPr="001225DD">
              <w:rPr>
                <w:b/>
                <w:bCs/>
              </w:rPr>
              <w:t>15</w:t>
            </w:r>
          </w:p>
        </w:tc>
        <w:tc>
          <w:tcPr>
            <w:tcW w:w="767" w:type="dxa"/>
            <w:hideMark/>
          </w:tcPr>
          <w:p w14:paraId="4C268A0D" w14:textId="77777777" w:rsidR="000A4436" w:rsidRPr="001225DD" w:rsidRDefault="000A4436" w:rsidP="00AA2133">
            <w:pPr>
              <w:pStyle w:val="RepStandard"/>
              <w:spacing w:before="120" w:after="120"/>
              <w:rPr>
                <w:b/>
                <w:bCs/>
              </w:rPr>
            </w:pPr>
            <w:r w:rsidRPr="001225DD">
              <w:rPr>
                <w:b/>
                <w:bCs/>
              </w:rPr>
              <w:t>20</w:t>
            </w:r>
          </w:p>
        </w:tc>
        <w:tc>
          <w:tcPr>
            <w:tcW w:w="768" w:type="dxa"/>
            <w:hideMark/>
          </w:tcPr>
          <w:p w14:paraId="7D8B0590" w14:textId="77777777" w:rsidR="000A4436" w:rsidRPr="001225DD" w:rsidRDefault="000A4436" w:rsidP="00AA2133">
            <w:pPr>
              <w:pStyle w:val="RepStandard"/>
              <w:spacing w:before="120" w:after="120"/>
              <w:rPr>
                <w:b/>
                <w:bCs/>
              </w:rPr>
            </w:pPr>
            <w:r w:rsidRPr="001225DD">
              <w:rPr>
                <w:b/>
                <w:bCs/>
              </w:rPr>
              <w:t>5</w:t>
            </w:r>
          </w:p>
        </w:tc>
        <w:tc>
          <w:tcPr>
            <w:tcW w:w="767" w:type="dxa"/>
            <w:hideMark/>
          </w:tcPr>
          <w:p w14:paraId="59615448" w14:textId="77777777" w:rsidR="000A4436" w:rsidRPr="001225DD" w:rsidRDefault="000A4436" w:rsidP="00AA2133">
            <w:pPr>
              <w:pStyle w:val="RepStandard"/>
              <w:spacing w:before="120" w:after="120"/>
              <w:rPr>
                <w:b/>
                <w:bCs/>
              </w:rPr>
            </w:pPr>
            <w:r w:rsidRPr="001225DD">
              <w:rPr>
                <w:b/>
                <w:bCs/>
              </w:rPr>
              <w:t>10</w:t>
            </w:r>
          </w:p>
        </w:tc>
        <w:tc>
          <w:tcPr>
            <w:tcW w:w="767" w:type="dxa"/>
            <w:hideMark/>
          </w:tcPr>
          <w:p w14:paraId="05EB2873" w14:textId="77777777" w:rsidR="000A4436" w:rsidRPr="001225DD" w:rsidRDefault="000A4436" w:rsidP="00AA2133">
            <w:pPr>
              <w:pStyle w:val="RepStandard"/>
              <w:spacing w:before="120" w:after="120"/>
              <w:rPr>
                <w:b/>
                <w:bCs/>
              </w:rPr>
            </w:pPr>
            <w:r w:rsidRPr="001225DD">
              <w:rPr>
                <w:b/>
                <w:bCs/>
              </w:rPr>
              <w:t>15</w:t>
            </w:r>
          </w:p>
        </w:tc>
        <w:tc>
          <w:tcPr>
            <w:tcW w:w="768" w:type="dxa"/>
            <w:hideMark/>
          </w:tcPr>
          <w:p w14:paraId="297B7289" w14:textId="77777777" w:rsidR="000A4436" w:rsidRPr="001225DD" w:rsidRDefault="000A4436" w:rsidP="00AA2133">
            <w:pPr>
              <w:pStyle w:val="RepStandard"/>
              <w:spacing w:before="120" w:after="120"/>
              <w:rPr>
                <w:b/>
                <w:bCs/>
              </w:rPr>
            </w:pPr>
            <w:r w:rsidRPr="001225DD">
              <w:rPr>
                <w:b/>
                <w:bCs/>
              </w:rPr>
              <w:t>20</w:t>
            </w:r>
          </w:p>
        </w:tc>
      </w:tr>
      <w:tr w:rsidR="005333E9" w:rsidRPr="001225DD" w14:paraId="27731572" w14:textId="77777777" w:rsidTr="000A4436">
        <w:trPr>
          <w:trHeight w:val="375"/>
        </w:trPr>
        <w:tc>
          <w:tcPr>
            <w:tcW w:w="988" w:type="dxa"/>
            <w:hideMark/>
          </w:tcPr>
          <w:p w14:paraId="29FB1CCD" w14:textId="77777777" w:rsidR="005333E9" w:rsidRPr="001E5BD6" w:rsidRDefault="005333E9" w:rsidP="00AA2133">
            <w:pPr>
              <w:pStyle w:val="RepStandard"/>
              <w:spacing w:before="120" w:after="120"/>
              <w:rPr>
                <w:b/>
              </w:rPr>
            </w:pPr>
            <w:r w:rsidRPr="001E5BD6">
              <w:rPr>
                <w:b/>
              </w:rPr>
              <w:t>None</w:t>
            </w:r>
          </w:p>
        </w:tc>
        <w:tc>
          <w:tcPr>
            <w:tcW w:w="1168" w:type="dxa"/>
            <w:hideMark/>
          </w:tcPr>
          <w:p w14:paraId="218C9B3F" w14:textId="77777777" w:rsidR="005333E9" w:rsidRPr="001E5BD6" w:rsidRDefault="005333E9" w:rsidP="00AA2133">
            <w:pPr>
              <w:pStyle w:val="RepStandard"/>
              <w:spacing w:before="120" w:after="120"/>
              <w:rPr>
                <w:b/>
              </w:rPr>
            </w:pPr>
            <w:r w:rsidRPr="001E5BD6">
              <w:rPr>
                <w:b/>
              </w:rPr>
              <w:t>D1 Ditch</w:t>
            </w:r>
          </w:p>
        </w:tc>
        <w:tc>
          <w:tcPr>
            <w:tcW w:w="816" w:type="dxa"/>
          </w:tcPr>
          <w:p w14:paraId="2A2C9143" w14:textId="77777777" w:rsidR="005333E9" w:rsidRPr="001225DD" w:rsidRDefault="005333E9" w:rsidP="00AA2133">
            <w:pPr>
              <w:pStyle w:val="RepStandard"/>
              <w:spacing w:before="120" w:after="120"/>
            </w:pPr>
          </w:p>
        </w:tc>
        <w:tc>
          <w:tcPr>
            <w:tcW w:w="718" w:type="dxa"/>
            <w:hideMark/>
          </w:tcPr>
          <w:p w14:paraId="0ACD74DC" w14:textId="77777777" w:rsidR="005333E9" w:rsidRPr="001225DD" w:rsidRDefault="005333E9" w:rsidP="00AA2133">
            <w:pPr>
              <w:pStyle w:val="RepStandard"/>
              <w:spacing w:before="120" w:after="120"/>
            </w:pPr>
            <w:r w:rsidRPr="001225DD">
              <w:t> </w:t>
            </w:r>
          </w:p>
        </w:tc>
        <w:tc>
          <w:tcPr>
            <w:tcW w:w="768" w:type="dxa"/>
            <w:hideMark/>
          </w:tcPr>
          <w:p w14:paraId="0708D446" w14:textId="77777777" w:rsidR="005333E9" w:rsidRPr="001225DD" w:rsidRDefault="005333E9" w:rsidP="00AA2133">
            <w:pPr>
              <w:pStyle w:val="RepStandard"/>
              <w:spacing w:before="120" w:after="120"/>
            </w:pPr>
            <w:r w:rsidRPr="001225DD">
              <w:t> </w:t>
            </w:r>
          </w:p>
        </w:tc>
        <w:tc>
          <w:tcPr>
            <w:tcW w:w="767" w:type="dxa"/>
            <w:hideMark/>
          </w:tcPr>
          <w:p w14:paraId="78C42551" w14:textId="77777777" w:rsidR="005333E9" w:rsidRPr="001225DD" w:rsidRDefault="005333E9" w:rsidP="00AA2133">
            <w:pPr>
              <w:pStyle w:val="RepStandard"/>
              <w:spacing w:before="120" w:after="120"/>
            </w:pPr>
            <w:r w:rsidRPr="001225DD">
              <w:t> </w:t>
            </w:r>
          </w:p>
        </w:tc>
        <w:tc>
          <w:tcPr>
            <w:tcW w:w="767" w:type="dxa"/>
            <w:hideMark/>
          </w:tcPr>
          <w:p w14:paraId="17D894DB" w14:textId="77777777" w:rsidR="005333E9" w:rsidRPr="001225DD" w:rsidRDefault="005333E9" w:rsidP="00AA2133">
            <w:pPr>
              <w:pStyle w:val="RepStandard"/>
              <w:spacing w:before="120" w:after="120"/>
            </w:pPr>
            <w:r w:rsidRPr="001225DD">
              <w:t> </w:t>
            </w:r>
          </w:p>
        </w:tc>
        <w:tc>
          <w:tcPr>
            <w:tcW w:w="768" w:type="dxa"/>
            <w:hideMark/>
          </w:tcPr>
          <w:p w14:paraId="6AD355EB" w14:textId="77777777" w:rsidR="005333E9" w:rsidRPr="001225DD" w:rsidRDefault="005333E9" w:rsidP="00AA2133">
            <w:pPr>
              <w:pStyle w:val="RepStandard"/>
              <w:spacing w:before="120" w:after="120"/>
            </w:pPr>
            <w:r w:rsidRPr="001225DD">
              <w:t> </w:t>
            </w:r>
          </w:p>
        </w:tc>
        <w:tc>
          <w:tcPr>
            <w:tcW w:w="767" w:type="dxa"/>
            <w:hideMark/>
          </w:tcPr>
          <w:p w14:paraId="489419B2" w14:textId="77777777" w:rsidR="005333E9" w:rsidRPr="001225DD" w:rsidRDefault="005333E9" w:rsidP="00AA2133">
            <w:pPr>
              <w:pStyle w:val="RepStandard"/>
              <w:spacing w:before="120" w:after="120"/>
            </w:pPr>
            <w:r w:rsidRPr="001225DD">
              <w:t> </w:t>
            </w:r>
          </w:p>
        </w:tc>
        <w:tc>
          <w:tcPr>
            <w:tcW w:w="767" w:type="dxa"/>
            <w:hideMark/>
          </w:tcPr>
          <w:p w14:paraId="74AAAF48" w14:textId="77777777" w:rsidR="005333E9" w:rsidRPr="001225DD" w:rsidRDefault="005333E9" w:rsidP="00AA2133">
            <w:pPr>
              <w:pStyle w:val="RepStandard"/>
              <w:spacing w:before="120" w:after="120"/>
            </w:pPr>
            <w:r w:rsidRPr="001225DD">
              <w:t> </w:t>
            </w:r>
          </w:p>
        </w:tc>
        <w:tc>
          <w:tcPr>
            <w:tcW w:w="768" w:type="dxa"/>
            <w:hideMark/>
          </w:tcPr>
          <w:p w14:paraId="53135364" w14:textId="77777777" w:rsidR="005333E9" w:rsidRPr="001225DD" w:rsidRDefault="005333E9" w:rsidP="00AA2133">
            <w:pPr>
              <w:pStyle w:val="RepStandard"/>
              <w:spacing w:before="120" w:after="120"/>
            </w:pPr>
            <w:r w:rsidRPr="001225DD">
              <w:t> </w:t>
            </w:r>
          </w:p>
        </w:tc>
      </w:tr>
      <w:tr w:rsidR="005333E9" w:rsidRPr="001225DD" w14:paraId="392CAEF5" w14:textId="77777777" w:rsidTr="000A4436">
        <w:trPr>
          <w:trHeight w:val="375"/>
        </w:trPr>
        <w:tc>
          <w:tcPr>
            <w:tcW w:w="988" w:type="dxa"/>
            <w:hideMark/>
          </w:tcPr>
          <w:p w14:paraId="050A8265" w14:textId="77777777" w:rsidR="005333E9" w:rsidRPr="001E5BD6" w:rsidRDefault="005333E9" w:rsidP="00AA2133">
            <w:pPr>
              <w:pStyle w:val="RepStandard"/>
              <w:spacing w:before="120" w:after="120"/>
              <w:rPr>
                <w:b/>
              </w:rPr>
            </w:pPr>
            <w:r w:rsidRPr="001E5BD6">
              <w:rPr>
                <w:b/>
              </w:rPr>
              <w:t>50%</w:t>
            </w:r>
          </w:p>
        </w:tc>
        <w:tc>
          <w:tcPr>
            <w:tcW w:w="1168" w:type="dxa"/>
            <w:hideMark/>
          </w:tcPr>
          <w:p w14:paraId="7F391735" w14:textId="77777777" w:rsidR="005333E9" w:rsidRPr="001E5BD6" w:rsidRDefault="005333E9" w:rsidP="00AA2133">
            <w:pPr>
              <w:pStyle w:val="RepStandard"/>
              <w:spacing w:before="120" w:after="120"/>
              <w:rPr>
                <w:b/>
              </w:rPr>
            </w:pPr>
            <w:r w:rsidRPr="001E5BD6">
              <w:rPr>
                <w:b/>
              </w:rPr>
              <w:t> </w:t>
            </w:r>
          </w:p>
        </w:tc>
        <w:tc>
          <w:tcPr>
            <w:tcW w:w="816" w:type="dxa"/>
          </w:tcPr>
          <w:p w14:paraId="4C3C4723" w14:textId="77777777" w:rsidR="005333E9" w:rsidRPr="001225DD" w:rsidRDefault="005333E9" w:rsidP="00AA2133">
            <w:pPr>
              <w:pStyle w:val="RepStandard"/>
              <w:spacing w:before="120" w:after="120"/>
            </w:pPr>
          </w:p>
        </w:tc>
        <w:tc>
          <w:tcPr>
            <w:tcW w:w="718" w:type="dxa"/>
            <w:hideMark/>
          </w:tcPr>
          <w:p w14:paraId="3F81DF5C" w14:textId="77777777" w:rsidR="005333E9" w:rsidRPr="001225DD" w:rsidRDefault="005333E9" w:rsidP="00AA2133">
            <w:pPr>
              <w:pStyle w:val="RepStandard"/>
              <w:spacing w:before="120" w:after="120"/>
            </w:pPr>
            <w:r w:rsidRPr="001225DD">
              <w:t> </w:t>
            </w:r>
          </w:p>
        </w:tc>
        <w:tc>
          <w:tcPr>
            <w:tcW w:w="768" w:type="dxa"/>
            <w:hideMark/>
          </w:tcPr>
          <w:p w14:paraId="7462977F" w14:textId="77777777" w:rsidR="005333E9" w:rsidRPr="001225DD" w:rsidRDefault="005333E9" w:rsidP="00AA2133">
            <w:pPr>
              <w:pStyle w:val="RepStandard"/>
              <w:spacing w:before="120" w:after="120"/>
            </w:pPr>
            <w:r w:rsidRPr="001225DD">
              <w:t> </w:t>
            </w:r>
          </w:p>
        </w:tc>
        <w:tc>
          <w:tcPr>
            <w:tcW w:w="767" w:type="dxa"/>
            <w:hideMark/>
          </w:tcPr>
          <w:p w14:paraId="055AE37E" w14:textId="77777777" w:rsidR="005333E9" w:rsidRPr="001225DD" w:rsidRDefault="005333E9" w:rsidP="00AA2133">
            <w:pPr>
              <w:pStyle w:val="RepStandard"/>
              <w:spacing w:before="120" w:after="120"/>
            </w:pPr>
            <w:r w:rsidRPr="001225DD">
              <w:t> </w:t>
            </w:r>
          </w:p>
        </w:tc>
        <w:tc>
          <w:tcPr>
            <w:tcW w:w="767" w:type="dxa"/>
            <w:hideMark/>
          </w:tcPr>
          <w:p w14:paraId="0AD61219" w14:textId="77777777" w:rsidR="005333E9" w:rsidRPr="001225DD" w:rsidRDefault="005333E9" w:rsidP="00AA2133">
            <w:pPr>
              <w:pStyle w:val="RepStandard"/>
              <w:spacing w:before="120" w:after="120"/>
            </w:pPr>
            <w:r w:rsidRPr="001225DD">
              <w:t> </w:t>
            </w:r>
          </w:p>
        </w:tc>
        <w:tc>
          <w:tcPr>
            <w:tcW w:w="768" w:type="dxa"/>
            <w:hideMark/>
          </w:tcPr>
          <w:p w14:paraId="5180FAD5" w14:textId="77777777" w:rsidR="005333E9" w:rsidRPr="001225DD" w:rsidRDefault="005333E9" w:rsidP="00AA2133">
            <w:pPr>
              <w:pStyle w:val="RepStandard"/>
              <w:spacing w:before="120" w:after="120"/>
            </w:pPr>
            <w:r w:rsidRPr="001225DD">
              <w:t> </w:t>
            </w:r>
          </w:p>
        </w:tc>
        <w:tc>
          <w:tcPr>
            <w:tcW w:w="767" w:type="dxa"/>
            <w:hideMark/>
          </w:tcPr>
          <w:p w14:paraId="5C23AE98" w14:textId="77777777" w:rsidR="005333E9" w:rsidRPr="001225DD" w:rsidRDefault="005333E9" w:rsidP="00AA2133">
            <w:pPr>
              <w:pStyle w:val="RepStandard"/>
              <w:spacing w:before="120" w:after="120"/>
            </w:pPr>
            <w:r w:rsidRPr="001225DD">
              <w:t> </w:t>
            </w:r>
          </w:p>
        </w:tc>
        <w:tc>
          <w:tcPr>
            <w:tcW w:w="767" w:type="dxa"/>
            <w:hideMark/>
          </w:tcPr>
          <w:p w14:paraId="5FEDE8AA" w14:textId="77777777" w:rsidR="005333E9" w:rsidRPr="001225DD" w:rsidRDefault="005333E9" w:rsidP="00AA2133">
            <w:pPr>
              <w:pStyle w:val="RepStandard"/>
              <w:spacing w:before="120" w:after="120"/>
            </w:pPr>
            <w:r w:rsidRPr="001225DD">
              <w:t> </w:t>
            </w:r>
          </w:p>
        </w:tc>
        <w:tc>
          <w:tcPr>
            <w:tcW w:w="768" w:type="dxa"/>
            <w:hideMark/>
          </w:tcPr>
          <w:p w14:paraId="4503ADBB" w14:textId="77777777" w:rsidR="005333E9" w:rsidRPr="001225DD" w:rsidRDefault="005333E9" w:rsidP="00AA2133">
            <w:pPr>
              <w:pStyle w:val="RepStandard"/>
              <w:spacing w:before="120" w:after="120"/>
            </w:pPr>
            <w:r w:rsidRPr="001225DD">
              <w:t> </w:t>
            </w:r>
          </w:p>
        </w:tc>
      </w:tr>
      <w:tr w:rsidR="005333E9" w:rsidRPr="001225DD" w14:paraId="191CA951" w14:textId="77777777" w:rsidTr="000A4436">
        <w:trPr>
          <w:trHeight w:val="375"/>
        </w:trPr>
        <w:tc>
          <w:tcPr>
            <w:tcW w:w="988" w:type="dxa"/>
            <w:hideMark/>
          </w:tcPr>
          <w:p w14:paraId="0240C68C" w14:textId="77777777" w:rsidR="005333E9" w:rsidRPr="001E5BD6" w:rsidRDefault="005333E9" w:rsidP="00AA2133">
            <w:pPr>
              <w:pStyle w:val="RepStandard"/>
              <w:spacing w:before="120" w:after="120"/>
              <w:rPr>
                <w:b/>
              </w:rPr>
            </w:pPr>
            <w:r w:rsidRPr="001E5BD6">
              <w:rPr>
                <w:b/>
              </w:rPr>
              <w:t>75%</w:t>
            </w:r>
          </w:p>
        </w:tc>
        <w:tc>
          <w:tcPr>
            <w:tcW w:w="1168" w:type="dxa"/>
            <w:hideMark/>
          </w:tcPr>
          <w:p w14:paraId="0A0D9EA9" w14:textId="77777777" w:rsidR="005333E9" w:rsidRPr="001E5BD6" w:rsidRDefault="005333E9" w:rsidP="00AA2133">
            <w:pPr>
              <w:pStyle w:val="RepStandard"/>
              <w:spacing w:before="120" w:after="120"/>
              <w:rPr>
                <w:b/>
              </w:rPr>
            </w:pPr>
            <w:r w:rsidRPr="001E5BD6">
              <w:rPr>
                <w:b/>
              </w:rPr>
              <w:t> </w:t>
            </w:r>
          </w:p>
        </w:tc>
        <w:tc>
          <w:tcPr>
            <w:tcW w:w="816" w:type="dxa"/>
          </w:tcPr>
          <w:p w14:paraId="478C7CE8" w14:textId="77777777" w:rsidR="005333E9" w:rsidRPr="001225DD" w:rsidRDefault="005333E9" w:rsidP="00AA2133">
            <w:pPr>
              <w:pStyle w:val="RepStandard"/>
              <w:spacing w:before="120" w:after="120"/>
            </w:pPr>
          </w:p>
        </w:tc>
        <w:tc>
          <w:tcPr>
            <w:tcW w:w="718" w:type="dxa"/>
            <w:hideMark/>
          </w:tcPr>
          <w:p w14:paraId="73A0B400" w14:textId="77777777" w:rsidR="005333E9" w:rsidRPr="001225DD" w:rsidRDefault="005333E9" w:rsidP="00AA2133">
            <w:pPr>
              <w:pStyle w:val="RepStandard"/>
              <w:spacing w:before="120" w:after="120"/>
            </w:pPr>
            <w:r w:rsidRPr="001225DD">
              <w:t> </w:t>
            </w:r>
          </w:p>
        </w:tc>
        <w:tc>
          <w:tcPr>
            <w:tcW w:w="768" w:type="dxa"/>
            <w:hideMark/>
          </w:tcPr>
          <w:p w14:paraId="77264BD9" w14:textId="77777777" w:rsidR="005333E9" w:rsidRPr="001225DD" w:rsidRDefault="005333E9" w:rsidP="00AA2133">
            <w:pPr>
              <w:pStyle w:val="RepStandard"/>
              <w:spacing w:before="120" w:after="120"/>
            </w:pPr>
            <w:r w:rsidRPr="001225DD">
              <w:t> </w:t>
            </w:r>
          </w:p>
        </w:tc>
        <w:tc>
          <w:tcPr>
            <w:tcW w:w="767" w:type="dxa"/>
            <w:hideMark/>
          </w:tcPr>
          <w:p w14:paraId="1338BABF" w14:textId="77777777" w:rsidR="005333E9" w:rsidRPr="001225DD" w:rsidRDefault="005333E9" w:rsidP="00AA2133">
            <w:pPr>
              <w:pStyle w:val="RepStandard"/>
              <w:spacing w:before="120" w:after="120"/>
            </w:pPr>
            <w:r w:rsidRPr="001225DD">
              <w:t> </w:t>
            </w:r>
          </w:p>
        </w:tc>
        <w:tc>
          <w:tcPr>
            <w:tcW w:w="767" w:type="dxa"/>
            <w:hideMark/>
          </w:tcPr>
          <w:p w14:paraId="0260EF0F" w14:textId="77777777" w:rsidR="005333E9" w:rsidRPr="001225DD" w:rsidRDefault="005333E9" w:rsidP="00AA2133">
            <w:pPr>
              <w:pStyle w:val="RepStandard"/>
              <w:spacing w:before="120" w:after="120"/>
            </w:pPr>
            <w:r w:rsidRPr="001225DD">
              <w:t> </w:t>
            </w:r>
          </w:p>
        </w:tc>
        <w:tc>
          <w:tcPr>
            <w:tcW w:w="768" w:type="dxa"/>
            <w:hideMark/>
          </w:tcPr>
          <w:p w14:paraId="5BBFB25E" w14:textId="77777777" w:rsidR="005333E9" w:rsidRPr="001225DD" w:rsidRDefault="005333E9" w:rsidP="00AA2133">
            <w:pPr>
              <w:pStyle w:val="RepStandard"/>
              <w:spacing w:before="120" w:after="120"/>
            </w:pPr>
            <w:r w:rsidRPr="001225DD">
              <w:t> </w:t>
            </w:r>
          </w:p>
        </w:tc>
        <w:tc>
          <w:tcPr>
            <w:tcW w:w="767" w:type="dxa"/>
            <w:hideMark/>
          </w:tcPr>
          <w:p w14:paraId="642AA886" w14:textId="77777777" w:rsidR="005333E9" w:rsidRPr="001225DD" w:rsidRDefault="005333E9" w:rsidP="00AA2133">
            <w:pPr>
              <w:pStyle w:val="RepStandard"/>
              <w:spacing w:before="120" w:after="120"/>
            </w:pPr>
            <w:r w:rsidRPr="001225DD">
              <w:t> </w:t>
            </w:r>
          </w:p>
        </w:tc>
        <w:tc>
          <w:tcPr>
            <w:tcW w:w="767" w:type="dxa"/>
            <w:hideMark/>
          </w:tcPr>
          <w:p w14:paraId="53900E7F" w14:textId="77777777" w:rsidR="005333E9" w:rsidRPr="001225DD" w:rsidRDefault="005333E9" w:rsidP="00AA2133">
            <w:pPr>
              <w:pStyle w:val="RepStandard"/>
              <w:spacing w:before="120" w:after="120"/>
            </w:pPr>
            <w:r w:rsidRPr="001225DD">
              <w:t> </w:t>
            </w:r>
          </w:p>
        </w:tc>
        <w:tc>
          <w:tcPr>
            <w:tcW w:w="768" w:type="dxa"/>
            <w:hideMark/>
          </w:tcPr>
          <w:p w14:paraId="5888F49A" w14:textId="77777777" w:rsidR="005333E9" w:rsidRPr="001225DD" w:rsidRDefault="005333E9" w:rsidP="00AA2133">
            <w:pPr>
              <w:pStyle w:val="RepStandard"/>
              <w:spacing w:before="120" w:after="120"/>
            </w:pPr>
            <w:r w:rsidRPr="001225DD">
              <w:t> </w:t>
            </w:r>
          </w:p>
        </w:tc>
      </w:tr>
      <w:tr w:rsidR="005333E9" w:rsidRPr="001225DD" w14:paraId="76E65557" w14:textId="77777777" w:rsidTr="000A4436">
        <w:trPr>
          <w:trHeight w:val="375"/>
        </w:trPr>
        <w:tc>
          <w:tcPr>
            <w:tcW w:w="988" w:type="dxa"/>
            <w:hideMark/>
          </w:tcPr>
          <w:p w14:paraId="7B983514" w14:textId="77777777" w:rsidR="005333E9" w:rsidRPr="001E5BD6" w:rsidRDefault="005333E9" w:rsidP="00AA2133">
            <w:pPr>
              <w:pStyle w:val="RepStandard"/>
              <w:spacing w:before="120" w:after="120"/>
              <w:rPr>
                <w:b/>
              </w:rPr>
            </w:pPr>
            <w:r w:rsidRPr="001E5BD6">
              <w:rPr>
                <w:b/>
              </w:rPr>
              <w:t>90%</w:t>
            </w:r>
          </w:p>
        </w:tc>
        <w:tc>
          <w:tcPr>
            <w:tcW w:w="1168" w:type="dxa"/>
            <w:hideMark/>
          </w:tcPr>
          <w:p w14:paraId="19394A5C" w14:textId="77777777" w:rsidR="005333E9" w:rsidRPr="001E5BD6" w:rsidRDefault="005333E9" w:rsidP="00AA2133">
            <w:pPr>
              <w:pStyle w:val="RepStandard"/>
              <w:spacing w:before="120" w:after="120"/>
              <w:rPr>
                <w:b/>
              </w:rPr>
            </w:pPr>
            <w:r w:rsidRPr="001E5BD6">
              <w:rPr>
                <w:b/>
              </w:rPr>
              <w:t> </w:t>
            </w:r>
          </w:p>
        </w:tc>
        <w:tc>
          <w:tcPr>
            <w:tcW w:w="816" w:type="dxa"/>
          </w:tcPr>
          <w:p w14:paraId="45E67C45" w14:textId="77777777" w:rsidR="005333E9" w:rsidRPr="001225DD" w:rsidRDefault="005333E9" w:rsidP="00AA2133">
            <w:pPr>
              <w:pStyle w:val="RepStandard"/>
              <w:spacing w:before="120" w:after="120"/>
            </w:pPr>
          </w:p>
        </w:tc>
        <w:tc>
          <w:tcPr>
            <w:tcW w:w="718" w:type="dxa"/>
            <w:hideMark/>
          </w:tcPr>
          <w:p w14:paraId="363A3C88" w14:textId="77777777" w:rsidR="005333E9" w:rsidRPr="001225DD" w:rsidRDefault="005333E9" w:rsidP="00AA2133">
            <w:pPr>
              <w:pStyle w:val="RepStandard"/>
              <w:spacing w:before="120" w:after="120"/>
            </w:pPr>
            <w:r w:rsidRPr="001225DD">
              <w:t> </w:t>
            </w:r>
          </w:p>
        </w:tc>
        <w:tc>
          <w:tcPr>
            <w:tcW w:w="768" w:type="dxa"/>
            <w:hideMark/>
          </w:tcPr>
          <w:p w14:paraId="73310299" w14:textId="77777777" w:rsidR="005333E9" w:rsidRPr="001225DD" w:rsidRDefault="005333E9" w:rsidP="00AA2133">
            <w:pPr>
              <w:pStyle w:val="RepStandard"/>
              <w:spacing w:before="120" w:after="120"/>
            </w:pPr>
            <w:r w:rsidRPr="001225DD">
              <w:t> </w:t>
            </w:r>
          </w:p>
        </w:tc>
        <w:tc>
          <w:tcPr>
            <w:tcW w:w="767" w:type="dxa"/>
            <w:hideMark/>
          </w:tcPr>
          <w:p w14:paraId="3A3D9594" w14:textId="77777777" w:rsidR="005333E9" w:rsidRPr="001225DD" w:rsidRDefault="005333E9" w:rsidP="00AA2133">
            <w:pPr>
              <w:pStyle w:val="RepStandard"/>
              <w:spacing w:before="120" w:after="120"/>
            </w:pPr>
            <w:r w:rsidRPr="001225DD">
              <w:t> </w:t>
            </w:r>
          </w:p>
        </w:tc>
        <w:tc>
          <w:tcPr>
            <w:tcW w:w="767" w:type="dxa"/>
            <w:hideMark/>
          </w:tcPr>
          <w:p w14:paraId="67A01B1E" w14:textId="77777777" w:rsidR="005333E9" w:rsidRPr="001225DD" w:rsidRDefault="005333E9" w:rsidP="00AA2133">
            <w:pPr>
              <w:pStyle w:val="RepStandard"/>
              <w:spacing w:before="120" w:after="120"/>
            </w:pPr>
            <w:r w:rsidRPr="001225DD">
              <w:t> </w:t>
            </w:r>
          </w:p>
        </w:tc>
        <w:tc>
          <w:tcPr>
            <w:tcW w:w="768" w:type="dxa"/>
            <w:hideMark/>
          </w:tcPr>
          <w:p w14:paraId="043D2B43" w14:textId="77777777" w:rsidR="005333E9" w:rsidRPr="001225DD" w:rsidRDefault="005333E9" w:rsidP="00AA2133">
            <w:pPr>
              <w:pStyle w:val="RepStandard"/>
              <w:spacing w:before="120" w:after="120"/>
            </w:pPr>
            <w:r w:rsidRPr="001225DD">
              <w:t> </w:t>
            </w:r>
          </w:p>
        </w:tc>
        <w:tc>
          <w:tcPr>
            <w:tcW w:w="767" w:type="dxa"/>
            <w:hideMark/>
          </w:tcPr>
          <w:p w14:paraId="39B16941" w14:textId="77777777" w:rsidR="005333E9" w:rsidRPr="001225DD" w:rsidRDefault="005333E9" w:rsidP="00AA2133">
            <w:pPr>
              <w:pStyle w:val="RepStandard"/>
              <w:spacing w:before="120" w:after="120"/>
            </w:pPr>
            <w:r w:rsidRPr="001225DD">
              <w:t> </w:t>
            </w:r>
          </w:p>
        </w:tc>
        <w:tc>
          <w:tcPr>
            <w:tcW w:w="767" w:type="dxa"/>
            <w:hideMark/>
          </w:tcPr>
          <w:p w14:paraId="661FBA21" w14:textId="77777777" w:rsidR="005333E9" w:rsidRPr="001225DD" w:rsidRDefault="005333E9" w:rsidP="00AA2133">
            <w:pPr>
              <w:pStyle w:val="RepStandard"/>
              <w:spacing w:before="120" w:after="120"/>
            </w:pPr>
            <w:r w:rsidRPr="001225DD">
              <w:t> </w:t>
            </w:r>
          </w:p>
        </w:tc>
        <w:tc>
          <w:tcPr>
            <w:tcW w:w="768" w:type="dxa"/>
            <w:hideMark/>
          </w:tcPr>
          <w:p w14:paraId="6A3463D2" w14:textId="77777777" w:rsidR="005333E9" w:rsidRPr="001225DD" w:rsidRDefault="005333E9" w:rsidP="00AA2133">
            <w:pPr>
              <w:pStyle w:val="RepStandard"/>
              <w:spacing w:before="120" w:after="120"/>
            </w:pPr>
            <w:r w:rsidRPr="001225DD">
              <w:t> </w:t>
            </w:r>
          </w:p>
        </w:tc>
      </w:tr>
      <w:tr w:rsidR="005333E9" w:rsidRPr="001225DD" w14:paraId="62805D65" w14:textId="77777777" w:rsidTr="000A4436">
        <w:trPr>
          <w:trHeight w:val="375"/>
        </w:trPr>
        <w:tc>
          <w:tcPr>
            <w:tcW w:w="988" w:type="dxa"/>
            <w:hideMark/>
          </w:tcPr>
          <w:p w14:paraId="7D64D394" w14:textId="77777777" w:rsidR="005333E9" w:rsidRPr="001E5BD6" w:rsidRDefault="005333E9" w:rsidP="00AA2133">
            <w:pPr>
              <w:pStyle w:val="RepStandard"/>
              <w:spacing w:before="120" w:after="120"/>
              <w:rPr>
                <w:b/>
              </w:rPr>
            </w:pPr>
            <w:r w:rsidRPr="001E5BD6">
              <w:rPr>
                <w:b/>
              </w:rPr>
              <w:t>None</w:t>
            </w:r>
          </w:p>
        </w:tc>
        <w:tc>
          <w:tcPr>
            <w:tcW w:w="1168" w:type="dxa"/>
            <w:hideMark/>
          </w:tcPr>
          <w:p w14:paraId="2015C10A" w14:textId="77777777" w:rsidR="005333E9" w:rsidRPr="001E5BD6" w:rsidRDefault="005333E9" w:rsidP="00AA2133">
            <w:pPr>
              <w:pStyle w:val="RepStandard"/>
              <w:spacing w:before="120" w:after="120"/>
              <w:rPr>
                <w:b/>
              </w:rPr>
            </w:pPr>
            <w:r w:rsidRPr="001E5BD6">
              <w:rPr>
                <w:b/>
              </w:rPr>
              <w:t>D1 Stream</w:t>
            </w:r>
          </w:p>
        </w:tc>
        <w:tc>
          <w:tcPr>
            <w:tcW w:w="816" w:type="dxa"/>
            <w:hideMark/>
          </w:tcPr>
          <w:p w14:paraId="7D9B623D" w14:textId="77777777" w:rsidR="005333E9" w:rsidRPr="001225DD" w:rsidRDefault="005333E9" w:rsidP="00AA2133">
            <w:pPr>
              <w:pStyle w:val="RepStandard"/>
              <w:spacing w:before="120" w:after="120"/>
            </w:pPr>
            <w:r w:rsidRPr="001225DD">
              <w:t> </w:t>
            </w:r>
          </w:p>
        </w:tc>
        <w:tc>
          <w:tcPr>
            <w:tcW w:w="718" w:type="dxa"/>
            <w:hideMark/>
          </w:tcPr>
          <w:p w14:paraId="4D14B48C" w14:textId="77777777" w:rsidR="005333E9" w:rsidRPr="001225DD" w:rsidRDefault="005333E9" w:rsidP="00AA2133">
            <w:pPr>
              <w:pStyle w:val="RepStandard"/>
              <w:spacing w:before="120" w:after="120"/>
            </w:pPr>
            <w:r w:rsidRPr="001225DD">
              <w:t> </w:t>
            </w:r>
          </w:p>
        </w:tc>
        <w:tc>
          <w:tcPr>
            <w:tcW w:w="768" w:type="dxa"/>
            <w:hideMark/>
          </w:tcPr>
          <w:p w14:paraId="2E5F3866" w14:textId="77777777" w:rsidR="005333E9" w:rsidRPr="001225DD" w:rsidRDefault="005333E9" w:rsidP="00AA2133">
            <w:pPr>
              <w:pStyle w:val="RepStandard"/>
              <w:spacing w:before="120" w:after="120"/>
            </w:pPr>
            <w:r w:rsidRPr="001225DD">
              <w:t> </w:t>
            </w:r>
          </w:p>
        </w:tc>
        <w:tc>
          <w:tcPr>
            <w:tcW w:w="767" w:type="dxa"/>
            <w:hideMark/>
          </w:tcPr>
          <w:p w14:paraId="16037D38" w14:textId="77777777" w:rsidR="005333E9" w:rsidRPr="001225DD" w:rsidRDefault="005333E9" w:rsidP="00AA2133">
            <w:pPr>
              <w:pStyle w:val="RepStandard"/>
              <w:spacing w:before="120" w:after="120"/>
            </w:pPr>
            <w:r w:rsidRPr="001225DD">
              <w:t> </w:t>
            </w:r>
          </w:p>
        </w:tc>
        <w:tc>
          <w:tcPr>
            <w:tcW w:w="767" w:type="dxa"/>
            <w:hideMark/>
          </w:tcPr>
          <w:p w14:paraId="1EE790DB" w14:textId="77777777" w:rsidR="005333E9" w:rsidRPr="001225DD" w:rsidRDefault="005333E9" w:rsidP="00AA2133">
            <w:pPr>
              <w:pStyle w:val="RepStandard"/>
              <w:spacing w:before="120" w:after="120"/>
            </w:pPr>
            <w:r w:rsidRPr="001225DD">
              <w:t> </w:t>
            </w:r>
          </w:p>
        </w:tc>
        <w:tc>
          <w:tcPr>
            <w:tcW w:w="768" w:type="dxa"/>
            <w:hideMark/>
          </w:tcPr>
          <w:p w14:paraId="34ACEE49" w14:textId="77777777" w:rsidR="005333E9" w:rsidRPr="001225DD" w:rsidRDefault="005333E9" w:rsidP="00AA2133">
            <w:pPr>
              <w:pStyle w:val="RepStandard"/>
              <w:spacing w:before="120" w:after="120"/>
            </w:pPr>
            <w:r w:rsidRPr="001225DD">
              <w:t> </w:t>
            </w:r>
          </w:p>
        </w:tc>
        <w:tc>
          <w:tcPr>
            <w:tcW w:w="767" w:type="dxa"/>
            <w:hideMark/>
          </w:tcPr>
          <w:p w14:paraId="693E405B" w14:textId="77777777" w:rsidR="005333E9" w:rsidRPr="001225DD" w:rsidRDefault="005333E9" w:rsidP="00AA2133">
            <w:pPr>
              <w:pStyle w:val="RepStandard"/>
              <w:spacing w:before="120" w:after="120"/>
            </w:pPr>
            <w:r w:rsidRPr="001225DD">
              <w:t> </w:t>
            </w:r>
          </w:p>
        </w:tc>
        <w:tc>
          <w:tcPr>
            <w:tcW w:w="767" w:type="dxa"/>
            <w:hideMark/>
          </w:tcPr>
          <w:p w14:paraId="1437DB19" w14:textId="77777777" w:rsidR="005333E9" w:rsidRPr="001225DD" w:rsidRDefault="005333E9" w:rsidP="00AA2133">
            <w:pPr>
              <w:pStyle w:val="RepStandard"/>
              <w:spacing w:before="120" w:after="120"/>
            </w:pPr>
            <w:r w:rsidRPr="001225DD">
              <w:t> </w:t>
            </w:r>
          </w:p>
        </w:tc>
        <w:tc>
          <w:tcPr>
            <w:tcW w:w="768" w:type="dxa"/>
            <w:hideMark/>
          </w:tcPr>
          <w:p w14:paraId="3DDD011C" w14:textId="77777777" w:rsidR="005333E9" w:rsidRPr="001225DD" w:rsidRDefault="005333E9" w:rsidP="00AA2133">
            <w:pPr>
              <w:pStyle w:val="RepStandard"/>
              <w:spacing w:before="120" w:after="120"/>
            </w:pPr>
            <w:r w:rsidRPr="001225DD">
              <w:t> </w:t>
            </w:r>
          </w:p>
        </w:tc>
      </w:tr>
      <w:tr w:rsidR="005333E9" w:rsidRPr="001225DD" w14:paraId="64B27BD3" w14:textId="77777777" w:rsidTr="000A4436">
        <w:trPr>
          <w:trHeight w:val="375"/>
        </w:trPr>
        <w:tc>
          <w:tcPr>
            <w:tcW w:w="988" w:type="dxa"/>
            <w:hideMark/>
          </w:tcPr>
          <w:p w14:paraId="718BDDCE" w14:textId="77777777" w:rsidR="005333E9" w:rsidRPr="001E5BD6" w:rsidRDefault="005333E9" w:rsidP="00AA2133">
            <w:pPr>
              <w:pStyle w:val="RepStandard"/>
              <w:spacing w:before="120" w:after="120"/>
              <w:rPr>
                <w:b/>
              </w:rPr>
            </w:pPr>
            <w:r w:rsidRPr="001E5BD6">
              <w:rPr>
                <w:b/>
              </w:rPr>
              <w:t>50%</w:t>
            </w:r>
          </w:p>
        </w:tc>
        <w:tc>
          <w:tcPr>
            <w:tcW w:w="1168" w:type="dxa"/>
            <w:hideMark/>
          </w:tcPr>
          <w:p w14:paraId="1DC91A2E" w14:textId="77777777" w:rsidR="005333E9" w:rsidRPr="001E5BD6" w:rsidRDefault="005333E9" w:rsidP="00AA2133">
            <w:pPr>
              <w:pStyle w:val="RepStandard"/>
              <w:spacing w:before="120" w:after="120"/>
              <w:rPr>
                <w:b/>
              </w:rPr>
            </w:pPr>
            <w:r w:rsidRPr="001E5BD6">
              <w:rPr>
                <w:b/>
              </w:rPr>
              <w:t> </w:t>
            </w:r>
          </w:p>
        </w:tc>
        <w:tc>
          <w:tcPr>
            <w:tcW w:w="816" w:type="dxa"/>
            <w:hideMark/>
          </w:tcPr>
          <w:p w14:paraId="46FE1161" w14:textId="77777777" w:rsidR="005333E9" w:rsidRPr="001225DD" w:rsidRDefault="005333E9" w:rsidP="00AA2133">
            <w:pPr>
              <w:pStyle w:val="RepStandard"/>
              <w:spacing w:before="120" w:after="120"/>
            </w:pPr>
            <w:r w:rsidRPr="001225DD">
              <w:t> </w:t>
            </w:r>
          </w:p>
        </w:tc>
        <w:tc>
          <w:tcPr>
            <w:tcW w:w="718" w:type="dxa"/>
            <w:hideMark/>
          </w:tcPr>
          <w:p w14:paraId="1BED98B2" w14:textId="77777777" w:rsidR="005333E9" w:rsidRPr="001225DD" w:rsidRDefault="005333E9" w:rsidP="00AA2133">
            <w:pPr>
              <w:pStyle w:val="RepStandard"/>
              <w:spacing w:before="120" w:after="120"/>
            </w:pPr>
            <w:r w:rsidRPr="001225DD">
              <w:t> </w:t>
            </w:r>
          </w:p>
        </w:tc>
        <w:tc>
          <w:tcPr>
            <w:tcW w:w="768" w:type="dxa"/>
            <w:hideMark/>
          </w:tcPr>
          <w:p w14:paraId="0507B212" w14:textId="77777777" w:rsidR="005333E9" w:rsidRPr="001225DD" w:rsidRDefault="005333E9" w:rsidP="00AA2133">
            <w:pPr>
              <w:pStyle w:val="RepStandard"/>
              <w:spacing w:before="120" w:after="120"/>
            </w:pPr>
            <w:r w:rsidRPr="001225DD">
              <w:t> </w:t>
            </w:r>
          </w:p>
        </w:tc>
        <w:tc>
          <w:tcPr>
            <w:tcW w:w="767" w:type="dxa"/>
            <w:hideMark/>
          </w:tcPr>
          <w:p w14:paraId="13470202" w14:textId="77777777" w:rsidR="005333E9" w:rsidRPr="001225DD" w:rsidRDefault="005333E9" w:rsidP="00AA2133">
            <w:pPr>
              <w:pStyle w:val="RepStandard"/>
              <w:spacing w:before="120" w:after="120"/>
            </w:pPr>
            <w:r w:rsidRPr="001225DD">
              <w:t> </w:t>
            </w:r>
          </w:p>
        </w:tc>
        <w:tc>
          <w:tcPr>
            <w:tcW w:w="767" w:type="dxa"/>
            <w:hideMark/>
          </w:tcPr>
          <w:p w14:paraId="2624B350" w14:textId="77777777" w:rsidR="005333E9" w:rsidRPr="001225DD" w:rsidRDefault="005333E9" w:rsidP="00AA2133">
            <w:pPr>
              <w:pStyle w:val="RepStandard"/>
              <w:spacing w:before="120" w:after="120"/>
            </w:pPr>
            <w:r w:rsidRPr="001225DD">
              <w:t> </w:t>
            </w:r>
          </w:p>
        </w:tc>
        <w:tc>
          <w:tcPr>
            <w:tcW w:w="768" w:type="dxa"/>
            <w:hideMark/>
          </w:tcPr>
          <w:p w14:paraId="68FFBA75" w14:textId="77777777" w:rsidR="005333E9" w:rsidRPr="001225DD" w:rsidRDefault="005333E9" w:rsidP="00AA2133">
            <w:pPr>
              <w:pStyle w:val="RepStandard"/>
              <w:spacing w:before="120" w:after="120"/>
            </w:pPr>
            <w:r w:rsidRPr="001225DD">
              <w:t> </w:t>
            </w:r>
          </w:p>
        </w:tc>
        <w:tc>
          <w:tcPr>
            <w:tcW w:w="767" w:type="dxa"/>
            <w:hideMark/>
          </w:tcPr>
          <w:p w14:paraId="35A115C3" w14:textId="77777777" w:rsidR="005333E9" w:rsidRPr="001225DD" w:rsidRDefault="005333E9" w:rsidP="00AA2133">
            <w:pPr>
              <w:pStyle w:val="RepStandard"/>
              <w:spacing w:before="120" w:after="120"/>
            </w:pPr>
            <w:r w:rsidRPr="001225DD">
              <w:t> </w:t>
            </w:r>
          </w:p>
        </w:tc>
        <w:tc>
          <w:tcPr>
            <w:tcW w:w="767" w:type="dxa"/>
            <w:hideMark/>
          </w:tcPr>
          <w:p w14:paraId="7FCCABF5" w14:textId="77777777" w:rsidR="005333E9" w:rsidRPr="001225DD" w:rsidRDefault="005333E9" w:rsidP="00AA2133">
            <w:pPr>
              <w:pStyle w:val="RepStandard"/>
              <w:spacing w:before="120" w:after="120"/>
            </w:pPr>
            <w:r w:rsidRPr="001225DD">
              <w:t> </w:t>
            </w:r>
          </w:p>
        </w:tc>
        <w:tc>
          <w:tcPr>
            <w:tcW w:w="768" w:type="dxa"/>
            <w:hideMark/>
          </w:tcPr>
          <w:p w14:paraId="69EDD933" w14:textId="77777777" w:rsidR="005333E9" w:rsidRPr="001225DD" w:rsidRDefault="005333E9" w:rsidP="00AA2133">
            <w:pPr>
              <w:pStyle w:val="RepStandard"/>
              <w:spacing w:before="120" w:after="120"/>
            </w:pPr>
            <w:r w:rsidRPr="001225DD">
              <w:t> </w:t>
            </w:r>
          </w:p>
        </w:tc>
      </w:tr>
      <w:tr w:rsidR="005333E9" w:rsidRPr="001225DD" w14:paraId="45991F8F" w14:textId="77777777" w:rsidTr="000A4436">
        <w:trPr>
          <w:trHeight w:val="375"/>
        </w:trPr>
        <w:tc>
          <w:tcPr>
            <w:tcW w:w="988" w:type="dxa"/>
            <w:hideMark/>
          </w:tcPr>
          <w:p w14:paraId="2E4548FC" w14:textId="77777777" w:rsidR="005333E9" w:rsidRPr="001E5BD6" w:rsidRDefault="005333E9" w:rsidP="00AA2133">
            <w:pPr>
              <w:pStyle w:val="RepStandard"/>
              <w:spacing w:before="120" w:after="120"/>
              <w:rPr>
                <w:b/>
              </w:rPr>
            </w:pPr>
            <w:r w:rsidRPr="001E5BD6">
              <w:rPr>
                <w:b/>
              </w:rPr>
              <w:t>75%</w:t>
            </w:r>
          </w:p>
        </w:tc>
        <w:tc>
          <w:tcPr>
            <w:tcW w:w="1168" w:type="dxa"/>
            <w:hideMark/>
          </w:tcPr>
          <w:p w14:paraId="330DC4A3" w14:textId="77777777" w:rsidR="005333E9" w:rsidRPr="001E5BD6" w:rsidRDefault="005333E9" w:rsidP="00AA2133">
            <w:pPr>
              <w:pStyle w:val="RepStandard"/>
              <w:spacing w:before="120" w:after="120"/>
              <w:rPr>
                <w:b/>
              </w:rPr>
            </w:pPr>
            <w:r w:rsidRPr="001E5BD6">
              <w:rPr>
                <w:b/>
              </w:rPr>
              <w:t> </w:t>
            </w:r>
          </w:p>
        </w:tc>
        <w:tc>
          <w:tcPr>
            <w:tcW w:w="816" w:type="dxa"/>
            <w:hideMark/>
          </w:tcPr>
          <w:p w14:paraId="323D79EE" w14:textId="77777777" w:rsidR="005333E9" w:rsidRPr="001225DD" w:rsidRDefault="005333E9" w:rsidP="00AA2133">
            <w:pPr>
              <w:pStyle w:val="RepStandard"/>
              <w:spacing w:before="120" w:after="120"/>
            </w:pPr>
            <w:r w:rsidRPr="001225DD">
              <w:t> </w:t>
            </w:r>
          </w:p>
        </w:tc>
        <w:tc>
          <w:tcPr>
            <w:tcW w:w="718" w:type="dxa"/>
            <w:hideMark/>
          </w:tcPr>
          <w:p w14:paraId="7B7B7BB2" w14:textId="77777777" w:rsidR="005333E9" w:rsidRPr="001225DD" w:rsidRDefault="005333E9" w:rsidP="00AA2133">
            <w:pPr>
              <w:pStyle w:val="RepStandard"/>
              <w:spacing w:before="120" w:after="120"/>
            </w:pPr>
            <w:r w:rsidRPr="001225DD">
              <w:t> </w:t>
            </w:r>
          </w:p>
        </w:tc>
        <w:tc>
          <w:tcPr>
            <w:tcW w:w="768" w:type="dxa"/>
            <w:hideMark/>
          </w:tcPr>
          <w:p w14:paraId="4B454C81" w14:textId="77777777" w:rsidR="005333E9" w:rsidRPr="001225DD" w:rsidRDefault="005333E9" w:rsidP="00AA2133">
            <w:pPr>
              <w:pStyle w:val="RepStandard"/>
              <w:spacing w:before="120" w:after="120"/>
            </w:pPr>
            <w:r w:rsidRPr="001225DD">
              <w:t> </w:t>
            </w:r>
          </w:p>
        </w:tc>
        <w:tc>
          <w:tcPr>
            <w:tcW w:w="767" w:type="dxa"/>
            <w:hideMark/>
          </w:tcPr>
          <w:p w14:paraId="3C94DFFC" w14:textId="77777777" w:rsidR="005333E9" w:rsidRPr="001225DD" w:rsidRDefault="005333E9" w:rsidP="00AA2133">
            <w:pPr>
              <w:pStyle w:val="RepStandard"/>
              <w:spacing w:before="120" w:after="120"/>
            </w:pPr>
            <w:r w:rsidRPr="001225DD">
              <w:t> </w:t>
            </w:r>
          </w:p>
        </w:tc>
        <w:tc>
          <w:tcPr>
            <w:tcW w:w="767" w:type="dxa"/>
            <w:hideMark/>
          </w:tcPr>
          <w:p w14:paraId="36618856" w14:textId="77777777" w:rsidR="005333E9" w:rsidRPr="001225DD" w:rsidRDefault="005333E9" w:rsidP="00AA2133">
            <w:pPr>
              <w:pStyle w:val="RepStandard"/>
              <w:spacing w:before="120" w:after="120"/>
            </w:pPr>
            <w:r w:rsidRPr="001225DD">
              <w:t> </w:t>
            </w:r>
          </w:p>
        </w:tc>
        <w:tc>
          <w:tcPr>
            <w:tcW w:w="768" w:type="dxa"/>
            <w:hideMark/>
          </w:tcPr>
          <w:p w14:paraId="56B81126" w14:textId="77777777" w:rsidR="005333E9" w:rsidRPr="001225DD" w:rsidRDefault="005333E9" w:rsidP="00AA2133">
            <w:pPr>
              <w:pStyle w:val="RepStandard"/>
              <w:spacing w:before="120" w:after="120"/>
            </w:pPr>
            <w:r w:rsidRPr="001225DD">
              <w:t> </w:t>
            </w:r>
          </w:p>
        </w:tc>
        <w:tc>
          <w:tcPr>
            <w:tcW w:w="767" w:type="dxa"/>
            <w:hideMark/>
          </w:tcPr>
          <w:p w14:paraId="6E76CAB3" w14:textId="77777777" w:rsidR="005333E9" w:rsidRPr="001225DD" w:rsidRDefault="005333E9" w:rsidP="00AA2133">
            <w:pPr>
              <w:pStyle w:val="RepStandard"/>
              <w:spacing w:before="120" w:after="120"/>
            </w:pPr>
            <w:r w:rsidRPr="001225DD">
              <w:t> </w:t>
            </w:r>
          </w:p>
        </w:tc>
        <w:tc>
          <w:tcPr>
            <w:tcW w:w="767" w:type="dxa"/>
            <w:hideMark/>
          </w:tcPr>
          <w:p w14:paraId="5E4B2472" w14:textId="77777777" w:rsidR="005333E9" w:rsidRPr="001225DD" w:rsidRDefault="005333E9" w:rsidP="00AA2133">
            <w:pPr>
              <w:pStyle w:val="RepStandard"/>
              <w:spacing w:before="120" w:after="120"/>
            </w:pPr>
            <w:r w:rsidRPr="001225DD">
              <w:t> </w:t>
            </w:r>
          </w:p>
        </w:tc>
        <w:tc>
          <w:tcPr>
            <w:tcW w:w="768" w:type="dxa"/>
            <w:hideMark/>
          </w:tcPr>
          <w:p w14:paraId="03C20727" w14:textId="77777777" w:rsidR="005333E9" w:rsidRPr="001225DD" w:rsidRDefault="005333E9" w:rsidP="00AA2133">
            <w:pPr>
              <w:pStyle w:val="RepStandard"/>
              <w:spacing w:before="120" w:after="120"/>
            </w:pPr>
            <w:r w:rsidRPr="001225DD">
              <w:t> </w:t>
            </w:r>
          </w:p>
        </w:tc>
      </w:tr>
      <w:tr w:rsidR="005333E9" w:rsidRPr="001225DD" w14:paraId="35D8900D" w14:textId="77777777" w:rsidTr="000A4436">
        <w:trPr>
          <w:trHeight w:val="375"/>
        </w:trPr>
        <w:tc>
          <w:tcPr>
            <w:tcW w:w="988" w:type="dxa"/>
            <w:hideMark/>
          </w:tcPr>
          <w:p w14:paraId="1E5C9A3A" w14:textId="77777777" w:rsidR="005333E9" w:rsidRPr="001E5BD6" w:rsidRDefault="005333E9" w:rsidP="00AA2133">
            <w:pPr>
              <w:pStyle w:val="RepStandard"/>
              <w:spacing w:before="120" w:after="120"/>
              <w:rPr>
                <w:b/>
              </w:rPr>
            </w:pPr>
            <w:r w:rsidRPr="001E5BD6">
              <w:rPr>
                <w:b/>
              </w:rPr>
              <w:t>90%</w:t>
            </w:r>
          </w:p>
        </w:tc>
        <w:tc>
          <w:tcPr>
            <w:tcW w:w="1168" w:type="dxa"/>
            <w:hideMark/>
          </w:tcPr>
          <w:p w14:paraId="61955E69" w14:textId="77777777" w:rsidR="005333E9" w:rsidRPr="001E5BD6" w:rsidRDefault="005333E9" w:rsidP="00AA2133">
            <w:pPr>
              <w:pStyle w:val="RepStandard"/>
              <w:spacing w:before="120" w:after="120"/>
              <w:rPr>
                <w:b/>
              </w:rPr>
            </w:pPr>
            <w:r w:rsidRPr="001E5BD6">
              <w:rPr>
                <w:b/>
              </w:rPr>
              <w:t> </w:t>
            </w:r>
          </w:p>
        </w:tc>
        <w:tc>
          <w:tcPr>
            <w:tcW w:w="816" w:type="dxa"/>
            <w:hideMark/>
          </w:tcPr>
          <w:p w14:paraId="3A53DCF4" w14:textId="77777777" w:rsidR="005333E9" w:rsidRPr="001225DD" w:rsidRDefault="005333E9" w:rsidP="00AA2133">
            <w:pPr>
              <w:pStyle w:val="RepStandard"/>
              <w:spacing w:before="120" w:after="120"/>
            </w:pPr>
            <w:r w:rsidRPr="001225DD">
              <w:t> </w:t>
            </w:r>
          </w:p>
        </w:tc>
        <w:tc>
          <w:tcPr>
            <w:tcW w:w="718" w:type="dxa"/>
            <w:hideMark/>
          </w:tcPr>
          <w:p w14:paraId="3E504B51" w14:textId="77777777" w:rsidR="005333E9" w:rsidRPr="001225DD" w:rsidRDefault="005333E9" w:rsidP="00AA2133">
            <w:pPr>
              <w:pStyle w:val="RepStandard"/>
              <w:spacing w:before="120" w:after="120"/>
            </w:pPr>
            <w:r w:rsidRPr="001225DD">
              <w:t> </w:t>
            </w:r>
          </w:p>
        </w:tc>
        <w:tc>
          <w:tcPr>
            <w:tcW w:w="768" w:type="dxa"/>
            <w:hideMark/>
          </w:tcPr>
          <w:p w14:paraId="296631A0" w14:textId="77777777" w:rsidR="005333E9" w:rsidRPr="001225DD" w:rsidRDefault="005333E9" w:rsidP="00AA2133">
            <w:pPr>
              <w:pStyle w:val="RepStandard"/>
              <w:spacing w:before="120" w:after="120"/>
            </w:pPr>
            <w:r w:rsidRPr="001225DD">
              <w:t> </w:t>
            </w:r>
          </w:p>
        </w:tc>
        <w:tc>
          <w:tcPr>
            <w:tcW w:w="767" w:type="dxa"/>
            <w:hideMark/>
          </w:tcPr>
          <w:p w14:paraId="508AA0BD" w14:textId="77777777" w:rsidR="005333E9" w:rsidRPr="001225DD" w:rsidRDefault="005333E9" w:rsidP="00AA2133">
            <w:pPr>
              <w:pStyle w:val="RepStandard"/>
              <w:spacing w:before="120" w:after="120"/>
            </w:pPr>
            <w:r w:rsidRPr="001225DD">
              <w:t> </w:t>
            </w:r>
          </w:p>
        </w:tc>
        <w:tc>
          <w:tcPr>
            <w:tcW w:w="767" w:type="dxa"/>
            <w:hideMark/>
          </w:tcPr>
          <w:p w14:paraId="714555CA" w14:textId="77777777" w:rsidR="005333E9" w:rsidRPr="001225DD" w:rsidRDefault="005333E9" w:rsidP="00AA2133">
            <w:pPr>
              <w:pStyle w:val="RepStandard"/>
              <w:spacing w:before="120" w:after="120"/>
            </w:pPr>
            <w:r w:rsidRPr="001225DD">
              <w:t> </w:t>
            </w:r>
          </w:p>
        </w:tc>
        <w:tc>
          <w:tcPr>
            <w:tcW w:w="768" w:type="dxa"/>
            <w:hideMark/>
          </w:tcPr>
          <w:p w14:paraId="0BF90C24" w14:textId="77777777" w:rsidR="005333E9" w:rsidRPr="001225DD" w:rsidRDefault="005333E9" w:rsidP="00AA2133">
            <w:pPr>
              <w:pStyle w:val="RepStandard"/>
              <w:spacing w:before="120" w:after="120"/>
            </w:pPr>
            <w:r w:rsidRPr="001225DD">
              <w:t> </w:t>
            </w:r>
          </w:p>
        </w:tc>
        <w:tc>
          <w:tcPr>
            <w:tcW w:w="767" w:type="dxa"/>
            <w:hideMark/>
          </w:tcPr>
          <w:p w14:paraId="6C5367F7" w14:textId="77777777" w:rsidR="005333E9" w:rsidRPr="001225DD" w:rsidRDefault="005333E9" w:rsidP="00AA2133">
            <w:pPr>
              <w:pStyle w:val="RepStandard"/>
              <w:spacing w:before="120" w:after="120"/>
            </w:pPr>
            <w:r w:rsidRPr="001225DD">
              <w:t> </w:t>
            </w:r>
          </w:p>
        </w:tc>
        <w:tc>
          <w:tcPr>
            <w:tcW w:w="767" w:type="dxa"/>
            <w:hideMark/>
          </w:tcPr>
          <w:p w14:paraId="56C852FC" w14:textId="77777777" w:rsidR="005333E9" w:rsidRPr="001225DD" w:rsidRDefault="005333E9" w:rsidP="00AA2133">
            <w:pPr>
              <w:pStyle w:val="RepStandard"/>
              <w:spacing w:before="120" w:after="120"/>
            </w:pPr>
            <w:r w:rsidRPr="001225DD">
              <w:t> </w:t>
            </w:r>
          </w:p>
        </w:tc>
        <w:tc>
          <w:tcPr>
            <w:tcW w:w="768" w:type="dxa"/>
            <w:hideMark/>
          </w:tcPr>
          <w:p w14:paraId="5E2468E2" w14:textId="77777777" w:rsidR="005333E9" w:rsidRPr="001225DD" w:rsidRDefault="005333E9" w:rsidP="00AA2133">
            <w:pPr>
              <w:pStyle w:val="RepStandard"/>
              <w:spacing w:before="120" w:after="120"/>
            </w:pPr>
            <w:r w:rsidRPr="001225DD">
              <w:t> </w:t>
            </w:r>
          </w:p>
        </w:tc>
      </w:tr>
      <w:tr w:rsidR="005333E9" w:rsidRPr="001225DD" w14:paraId="61E31825" w14:textId="77777777" w:rsidTr="000A4436">
        <w:trPr>
          <w:trHeight w:val="375"/>
        </w:trPr>
        <w:tc>
          <w:tcPr>
            <w:tcW w:w="988" w:type="dxa"/>
            <w:hideMark/>
          </w:tcPr>
          <w:p w14:paraId="501B166B" w14:textId="77777777" w:rsidR="005333E9" w:rsidRPr="001E5BD6" w:rsidRDefault="005333E9" w:rsidP="00AA2133">
            <w:pPr>
              <w:pStyle w:val="RepStandard"/>
              <w:spacing w:before="120" w:after="120"/>
              <w:rPr>
                <w:b/>
              </w:rPr>
            </w:pPr>
            <w:r w:rsidRPr="001E5BD6">
              <w:rPr>
                <w:b/>
              </w:rPr>
              <w:t>None</w:t>
            </w:r>
          </w:p>
        </w:tc>
        <w:tc>
          <w:tcPr>
            <w:tcW w:w="1168" w:type="dxa"/>
            <w:hideMark/>
          </w:tcPr>
          <w:p w14:paraId="3A37DC97" w14:textId="77777777" w:rsidR="005333E9" w:rsidRPr="001E5BD6" w:rsidRDefault="005333E9" w:rsidP="00AA2133">
            <w:pPr>
              <w:pStyle w:val="RepStandard"/>
              <w:spacing w:before="120" w:after="120"/>
              <w:rPr>
                <w:b/>
              </w:rPr>
            </w:pPr>
            <w:r w:rsidRPr="001E5BD6">
              <w:rPr>
                <w:b/>
              </w:rPr>
              <w:t>D2 Ditch</w:t>
            </w:r>
          </w:p>
        </w:tc>
        <w:tc>
          <w:tcPr>
            <w:tcW w:w="816" w:type="dxa"/>
            <w:hideMark/>
          </w:tcPr>
          <w:p w14:paraId="0C165EE8" w14:textId="77777777" w:rsidR="005333E9" w:rsidRPr="001225DD" w:rsidRDefault="005333E9" w:rsidP="00AA2133">
            <w:pPr>
              <w:pStyle w:val="RepStandard"/>
              <w:spacing w:before="120" w:after="120"/>
            </w:pPr>
            <w:r w:rsidRPr="001225DD">
              <w:t> </w:t>
            </w:r>
          </w:p>
        </w:tc>
        <w:tc>
          <w:tcPr>
            <w:tcW w:w="718" w:type="dxa"/>
            <w:hideMark/>
          </w:tcPr>
          <w:p w14:paraId="514399C9" w14:textId="77777777" w:rsidR="005333E9" w:rsidRPr="001225DD" w:rsidRDefault="005333E9" w:rsidP="00AA2133">
            <w:pPr>
              <w:pStyle w:val="RepStandard"/>
              <w:spacing w:before="120" w:after="120"/>
            </w:pPr>
            <w:r w:rsidRPr="001225DD">
              <w:t> </w:t>
            </w:r>
          </w:p>
        </w:tc>
        <w:tc>
          <w:tcPr>
            <w:tcW w:w="768" w:type="dxa"/>
            <w:hideMark/>
          </w:tcPr>
          <w:p w14:paraId="296F9401" w14:textId="77777777" w:rsidR="005333E9" w:rsidRPr="001225DD" w:rsidRDefault="005333E9" w:rsidP="00AA2133">
            <w:pPr>
              <w:pStyle w:val="RepStandard"/>
              <w:spacing w:before="120" w:after="120"/>
            </w:pPr>
            <w:r w:rsidRPr="001225DD">
              <w:t> </w:t>
            </w:r>
          </w:p>
        </w:tc>
        <w:tc>
          <w:tcPr>
            <w:tcW w:w="767" w:type="dxa"/>
            <w:hideMark/>
          </w:tcPr>
          <w:p w14:paraId="388DB7FD" w14:textId="77777777" w:rsidR="005333E9" w:rsidRPr="001225DD" w:rsidRDefault="005333E9" w:rsidP="00AA2133">
            <w:pPr>
              <w:pStyle w:val="RepStandard"/>
              <w:spacing w:before="120" w:after="120"/>
            </w:pPr>
            <w:r w:rsidRPr="001225DD">
              <w:t> </w:t>
            </w:r>
          </w:p>
        </w:tc>
        <w:tc>
          <w:tcPr>
            <w:tcW w:w="767" w:type="dxa"/>
            <w:hideMark/>
          </w:tcPr>
          <w:p w14:paraId="2FD845A5" w14:textId="77777777" w:rsidR="005333E9" w:rsidRPr="001225DD" w:rsidRDefault="005333E9" w:rsidP="00AA2133">
            <w:pPr>
              <w:pStyle w:val="RepStandard"/>
              <w:spacing w:before="120" w:after="120"/>
            </w:pPr>
            <w:r w:rsidRPr="001225DD">
              <w:t> </w:t>
            </w:r>
          </w:p>
        </w:tc>
        <w:tc>
          <w:tcPr>
            <w:tcW w:w="768" w:type="dxa"/>
            <w:hideMark/>
          </w:tcPr>
          <w:p w14:paraId="16F49187" w14:textId="77777777" w:rsidR="005333E9" w:rsidRPr="001225DD" w:rsidRDefault="005333E9" w:rsidP="00AA2133">
            <w:pPr>
              <w:pStyle w:val="RepStandard"/>
              <w:spacing w:before="120" w:after="120"/>
            </w:pPr>
            <w:r w:rsidRPr="001225DD">
              <w:t> </w:t>
            </w:r>
          </w:p>
        </w:tc>
        <w:tc>
          <w:tcPr>
            <w:tcW w:w="767" w:type="dxa"/>
            <w:hideMark/>
          </w:tcPr>
          <w:p w14:paraId="3F7F9F91" w14:textId="77777777" w:rsidR="005333E9" w:rsidRPr="001225DD" w:rsidRDefault="005333E9" w:rsidP="00AA2133">
            <w:pPr>
              <w:pStyle w:val="RepStandard"/>
              <w:spacing w:before="120" w:after="120"/>
            </w:pPr>
            <w:r w:rsidRPr="001225DD">
              <w:t> </w:t>
            </w:r>
          </w:p>
        </w:tc>
        <w:tc>
          <w:tcPr>
            <w:tcW w:w="767" w:type="dxa"/>
            <w:hideMark/>
          </w:tcPr>
          <w:p w14:paraId="1E194802" w14:textId="77777777" w:rsidR="005333E9" w:rsidRPr="001225DD" w:rsidRDefault="005333E9" w:rsidP="00AA2133">
            <w:pPr>
              <w:pStyle w:val="RepStandard"/>
              <w:spacing w:before="120" w:after="120"/>
            </w:pPr>
            <w:r w:rsidRPr="001225DD">
              <w:t> </w:t>
            </w:r>
          </w:p>
        </w:tc>
        <w:tc>
          <w:tcPr>
            <w:tcW w:w="768" w:type="dxa"/>
            <w:hideMark/>
          </w:tcPr>
          <w:p w14:paraId="4AEC2F65" w14:textId="77777777" w:rsidR="005333E9" w:rsidRPr="001225DD" w:rsidRDefault="005333E9" w:rsidP="00AA2133">
            <w:pPr>
              <w:pStyle w:val="RepStandard"/>
              <w:spacing w:before="120" w:after="120"/>
            </w:pPr>
            <w:r w:rsidRPr="001225DD">
              <w:t> </w:t>
            </w:r>
          </w:p>
        </w:tc>
      </w:tr>
      <w:tr w:rsidR="005333E9" w:rsidRPr="001225DD" w14:paraId="60EB05C5" w14:textId="77777777" w:rsidTr="000A4436">
        <w:trPr>
          <w:trHeight w:val="375"/>
        </w:trPr>
        <w:tc>
          <w:tcPr>
            <w:tcW w:w="988" w:type="dxa"/>
            <w:hideMark/>
          </w:tcPr>
          <w:p w14:paraId="60223734" w14:textId="77777777" w:rsidR="005333E9" w:rsidRPr="001E5BD6" w:rsidRDefault="005333E9" w:rsidP="00AA2133">
            <w:pPr>
              <w:pStyle w:val="RepStandard"/>
              <w:spacing w:before="120" w:after="120"/>
              <w:rPr>
                <w:b/>
              </w:rPr>
            </w:pPr>
            <w:r w:rsidRPr="001E5BD6">
              <w:rPr>
                <w:b/>
              </w:rPr>
              <w:t>50%</w:t>
            </w:r>
          </w:p>
        </w:tc>
        <w:tc>
          <w:tcPr>
            <w:tcW w:w="1168" w:type="dxa"/>
            <w:hideMark/>
          </w:tcPr>
          <w:p w14:paraId="1BACB815" w14:textId="77777777" w:rsidR="005333E9" w:rsidRPr="001E5BD6" w:rsidRDefault="005333E9" w:rsidP="00AA2133">
            <w:pPr>
              <w:pStyle w:val="RepStandard"/>
              <w:spacing w:before="120" w:after="120"/>
              <w:rPr>
                <w:b/>
              </w:rPr>
            </w:pPr>
            <w:r w:rsidRPr="001E5BD6">
              <w:rPr>
                <w:b/>
              </w:rPr>
              <w:t> </w:t>
            </w:r>
          </w:p>
        </w:tc>
        <w:tc>
          <w:tcPr>
            <w:tcW w:w="816" w:type="dxa"/>
            <w:hideMark/>
          </w:tcPr>
          <w:p w14:paraId="4C1ED093" w14:textId="77777777" w:rsidR="005333E9" w:rsidRPr="001225DD" w:rsidRDefault="005333E9" w:rsidP="00AA2133">
            <w:pPr>
              <w:pStyle w:val="RepStandard"/>
              <w:spacing w:before="120" w:after="120"/>
            </w:pPr>
            <w:r w:rsidRPr="001225DD">
              <w:t> </w:t>
            </w:r>
          </w:p>
        </w:tc>
        <w:tc>
          <w:tcPr>
            <w:tcW w:w="718" w:type="dxa"/>
            <w:hideMark/>
          </w:tcPr>
          <w:p w14:paraId="5534742A" w14:textId="77777777" w:rsidR="005333E9" w:rsidRPr="001225DD" w:rsidRDefault="005333E9" w:rsidP="00AA2133">
            <w:pPr>
              <w:pStyle w:val="RepStandard"/>
              <w:spacing w:before="120" w:after="120"/>
            </w:pPr>
            <w:r w:rsidRPr="001225DD">
              <w:t> </w:t>
            </w:r>
          </w:p>
        </w:tc>
        <w:tc>
          <w:tcPr>
            <w:tcW w:w="768" w:type="dxa"/>
            <w:hideMark/>
          </w:tcPr>
          <w:p w14:paraId="58594427" w14:textId="77777777" w:rsidR="005333E9" w:rsidRPr="001225DD" w:rsidRDefault="005333E9" w:rsidP="00AA2133">
            <w:pPr>
              <w:pStyle w:val="RepStandard"/>
              <w:spacing w:before="120" w:after="120"/>
            </w:pPr>
            <w:r w:rsidRPr="001225DD">
              <w:t> </w:t>
            </w:r>
          </w:p>
        </w:tc>
        <w:tc>
          <w:tcPr>
            <w:tcW w:w="767" w:type="dxa"/>
            <w:hideMark/>
          </w:tcPr>
          <w:p w14:paraId="73985E49" w14:textId="77777777" w:rsidR="005333E9" w:rsidRPr="001225DD" w:rsidRDefault="005333E9" w:rsidP="00AA2133">
            <w:pPr>
              <w:pStyle w:val="RepStandard"/>
              <w:spacing w:before="120" w:after="120"/>
            </w:pPr>
            <w:r w:rsidRPr="001225DD">
              <w:t> </w:t>
            </w:r>
          </w:p>
        </w:tc>
        <w:tc>
          <w:tcPr>
            <w:tcW w:w="767" w:type="dxa"/>
            <w:hideMark/>
          </w:tcPr>
          <w:p w14:paraId="376619B8" w14:textId="77777777" w:rsidR="005333E9" w:rsidRPr="001225DD" w:rsidRDefault="005333E9" w:rsidP="00AA2133">
            <w:pPr>
              <w:pStyle w:val="RepStandard"/>
              <w:spacing w:before="120" w:after="120"/>
            </w:pPr>
            <w:r w:rsidRPr="001225DD">
              <w:t> </w:t>
            </w:r>
          </w:p>
        </w:tc>
        <w:tc>
          <w:tcPr>
            <w:tcW w:w="768" w:type="dxa"/>
            <w:hideMark/>
          </w:tcPr>
          <w:p w14:paraId="62F583C7" w14:textId="77777777" w:rsidR="005333E9" w:rsidRPr="001225DD" w:rsidRDefault="005333E9" w:rsidP="00AA2133">
            <w:pPr>
              <w:pStyle w:val="RepStandard"/>
              <w:spacing w:before="120" w:after="120"/>
            </w:pPr>
            <w:r w:rsidRPr="001225DD">
              <w:t> </w:t>
            </w:r>
          </w:p>
        </w:tc>
        <w:tc>
          <w:tcPr>
            <w:tcW w:w="767" w:type="dxa"/>
            <w:hideMark/>
          </w:tcPr>
          <w:p w14:paraId="7FCD649F" w14:textId="77777777" w:rsidR="005333E9" w:rsidRPr="001225DD" w:rsidRDefault="005333E9" w:rsidP="00AA2133">
            <w:pPr>
              <w:pStyle w:val="RepStandard"/>
              <w:spacing w:before="120" w:after="120"/>
            </w:pPr>
            <w:r w:rsidRPr="001225DD">
              <w:t> </w:t>
            </w:r>
          </w:p>
        </w:tc>
        <w:tc>
          <w:tcPr>
            <w:tcW w:w="767" w:type="dxa"/>
            <w:hideMark/>
          </w:tcPr>
          <w:p w14:paraId="059A2738" w14:textId="77777777" w:rsidR="005333E9" w:rsidRPr="001225DD" w:rsidRDefault="005333E9" w:rsidP="00AA2133">
            <w:pPr>
              <w:pStyle w:val="RepStandard"/>
              <w:spacing w:before="120" w:after="120"/>
            </w:pPr>
            <w:r w:rsidRPr="001225DD">
              <w:t> </w:t>
            </w:r>
          </w:p>
        </w:tc>
        <w:tc>
          <w:tcPr>
            <w:tcW w:w="768" w:type="dxa"/>
            <w:hideMark/>
          </w:tcPr>
          <w:p w14:paraId="05DF41C6" w14:textId="77777777" w:rsidR="005333E9" w:rsidRPr="001225DD" w:rsidRDefault="005333E9" w:rsidP="00AA2133">
            <w:pPr>
              <w:pStyle w:val="RepStandard"/>
              <w:spacing w:before="120" w:after="120"/>
            </w:pPr>
            <w:r w:rsidRPr="001225DD">
              <w:t> </w:t>
            </w:r>
          </w:p>
        </w:tc>
      </w:tr>
      <w:tr w:rsidR="005333E9" w:rsidRPr="001225DD" w14:paraId="57D79C25" w14:textId="77777777" w:rsidTr="000A4436">
        <w:trPr>
          <w:trHeight w:val="375"/>
        </w:trPr>
        <w:tc>
          <w:tcPr>
            <w:tcW w:w="988" w:type="dxa"/>
            <w:hideMark/>
          </w:tcPr>
          <w:p w14:paraId="3349434A" w14:textId="77777777" w:rsidR="005333E9" w:rsidRPr="001E5BD6" w:rsidRDefault="005333E9" w:rsidP="00AA2133">
            <w:pPr>
              <w:pStyle w:val="RepStandard"/>
              <w:spacing w:before="120" w:after="120"/>
              <w:rPr>
                <w:b/>
              </w:rPr>
            </w:pPr>
            <w:r w:rsidRPr="001E5BD6">
              <w:rPr>
                <w:b/>
              </w:rPr>
              <w:t>75%</w:t>
            </w:r>
          </w:p>
        </w:tc>
        <w:tc>
          <w:tcPr>
            <w:tcW w:w="1168" w:type="dxa"/>
            <w:hideMark/>
          </w:tcPr>
          <w:p w14:paraId="1CA736DE" w14:textId="77777777" w:rsidR="005333E9" w:rsidRPr="001E5BD6" w:rsidRDefault="005333E9" w:rsidP="00AA2133">
            <w:pPr>
              <w:pStyle w:val="RepStandard"/>
              <w:spacing w:before="120" w:after="120"/>
              <w:rPr>
                <w:b/>
              </w:rPr>
            </w:pPr>
            <w:r w:rsidRPr="001E5BD6">
              <w:rPr>
                <w:b/>
              </w:rPr>
              <w:t> </w:t>
            </w:r>
          </w:p>
        </w:tc>
        <w:tc>
          <w:tcPr>
            <w:tcW w:w="816" w:type="dxa"/>
            <w:hideMark/>
          </w:tcPr>
          <w:p w14:paraId="55F092FA" w14:textId="77777777" w:rsidR="005333E9" w:rsidRPr="001225DD" w:rsidRDefault="005333E9" w:rsidP="00AA2133">
            <w:pPr>
              <w:pStyle w:val="RepStandard"/>
              <w:spacing w:before="120" w:after="120"/>
            </w:pPr>
            <w:r w:rsidRPr="001225DD">
              <w:t> </w:t>
            </w:r>
          </w:p>
        </w:tc>
        <w:tc>
          <w:tcPr>
            <w:tcW w:w="718" w:type="dxa"/>
            <w:hideMark/>
          </w:tcPr>
          <w:p w14:paraId="094360BB" w14:textId="77777777" w:rsidR="005333E9" w:rsidRPr="001225DD" w:rsidRDefault="005333E9" w:rsidP="00AA2133">
            <w:pPr>
              <w:pStyle w:val="RepStandard"/>
              <w:spacing w:before="120" w:after="120"/>
            </w:pPr>
            <w:r w:rsidRPr="001225DD">
              <w:t> </w:t>
            </w:r>
          </w:p>
        </w:tc>
        <w:tc>
          <w:tcPr>
            <w:tcW w:w="768" w:type="dxa"/>
            <w:hideMark/>
          </w:tcPr>
          <w:p w14:paraId="78E2AC96" w14:textId="77777777" w:rsidR="005333E9" w:rsidRPr="001225DD" w:rsidRDefault="005333E9" w:rsidP="00AA2133">
            <w:pPr>
              <w:pStyle w:val="RepStandard"/>
              <w:spacing w:before="120" w:after="120"/>
            </w:pPr>
            <w:r w:rsidRPr="001225DD">
              <w:t> </w:t>
            </w:r>
          </w:p>
        </w:tc>
        <w:tc>
          <w:tcPr>
            <w:tcW w:w="767" w:type="dxa"/>
            <w:hideMark/>
          </w:tcPr>
          <w:p w14:paraId="2B0401B6" w14:textId="77777777" w:rsidR="005333E9" w:rsidRPr="001225DD" w:rsidRDefault="005333E9" w:rsidP="00AA2133">
            <w:pPr>
              <w:pStyle w:val="RepStandard"/>
              <w:spacing w:before="120" w:after="120"/>
            </w:pPr>
            <w:r w:rsidRPr="001225DD">
              <w:t> </w:t>
            </w:r>
          </w:p>
        </w:tc>
        <w:tc>
          <w:tcPr>
            <w:tcW w:w="767" w:type="dxa"/>
            <w:hideMark/>
          </w:tcPr>
          <w:p w14:paraId="53C26979" w14:textId="77777777" w:rsidR="005333E9" w:rsidRPr="001225DD" w:rsidRDefault="005333E9" w:rsidP="00AA2133">
            <w:pPr>
              <w:pStyle w:val="RepStandard"/>
              <w:spacing w:before="120" w:after="120"/>
            </w:pPr>
            <w:r w:rsidRPr="001225DD">
              <w:t> </w:t>
            </w:r>
          </w:p>
        </w:tc>
        <w:tc>
          <w:tcPr>
            <w:tcW w:w="768" w:type="dxa"/>
            <w:hideMark/>
          </w:tcPr>
          <w:p w14:paraId="6455364C" w14:textId="77777777" w:rsidR="005333E9" w:rsidRPr="001225DD" w:rsidRDefault="005333E9" w:rsidP="00AA2133">
            <w:pPr>
              <w:pStyle w:val="RepStandard"/>
              <w:spacing w:before="120" w:after="120"/>
            </w:pPr>
            <w:r w:rsidRPr="001225DD">
              <w:t> </w:t>
            </w:r>
          </w:p>
        </w:tc>
        <w:tc>
          <w:tcPr>
            <w:tcW w:w="767" w:type="dxa"/>
            <w:hideMark/>
          </w:tcPr>
          <w:p w14:paraId="3410FEAA" w14:textId="77777777" w:rsidR="005333E9" w:rsidRPr="001225DD" w:rsidRDefault="005333E9" w:rsidP="00AA2133">
            <w:pPr>
              <w:pStyle w:val="RepStandard"/>
              <w:spacing w:before="120" w:after="120"/>
            </w:pPr>
            <w:r w:rsidRPr="001225DD">
              <w:t> </w:t>
            </w:r>
          </w:p>
        </w:tc>
        <w:tc>
          <w:tcPr>
            <w:tcW w:w="767" w:type="dxa"/>
            <w:hideMark/>
          </w:tcPr>
          <w:p w14:paraId="0B069FAB" w14:textId="77777777" w:rsidR="005333E9" w:rsidRPr="001225DD" w:rsidRDefault="005333E9" w:rsidP="00AA2133">
            <w:pPr>
              <w:pStyle w:val="RepStandard"/>
              <w:spacing w:before="120" w:after="120"/>
            </w:pPr>
            <w:r w:rsidRPr="001225DD">
              <w:t> </w:t>
            </w:r>
          </w:p>
        </w:tc>
        <w:tc>
          <w:tcPr>
            <w:tcW w:w="768" w:type="dxa"/>
            <w:hideMark/>
          </w:tcPr>
          <w:p w14:paraId="182829C8" w14:textId="77777777" w:rsidR="005333E9" w:rsidRPr="001225DD" w:rsidRDefault="005333E9" w:rsidP="00AA2133">
            <w:pPr>
              <w:pStyle w:val="RepStandard"/>
              <w:spacing w:before="120" w:after="120"/>
            </w:pPr>
            <w:r w:rsidRPr="001225DD">
              <w:t> </w:t>
            </w:r>
          </w:p>
        </w:tc>
      </w:tr>
      <w:tr w:rsidR="005333E9" w:rsidRPr="001225DD" w14:paraId="5BA71426" w14:textId="77777777" w:rsidTr="000A4436">
        <w:trPr>
          <w:trHeight w:val="375"/>
        </w:trPr>
        <w:tc>
          <w:tcPr>
            <w:tcW w:w="988" w:type="dxa"/>
            <w:hideMark/>
          </w:tcPr>
          <w:p w14:paraId="058E2404" w14:textId="77777777" w:rsidR="005333E9" w:rsidRPr="001E5BD6" w:rsidRDefault="005333E9" w:rsidP="00AA2133">
            <w:pPr>
              <w:pStyle w:val="RepStandard"/>
              <w:spacing w:before="120" w:after="120"/>
              <w:rPr>
                <w:b/>
              </w:rPr>
            </w:pPr>
            <w:r w:rsidRPr="001E5BD6">
              <w:rPr>
                <w:b/>
              </w:rPr>
              <w:t>90%</w:t>
            </w:r>
          </w:p>
        </w:tc>
        <w:tc>
          <w:tcPr>
            <w:tcW w:w="1168" w:type="dxa"/>
            <w:hideMark/>
          </w:tcPr>
          <w:p w14:paraId="3908687F" w14:textId="77777777" w:rsidR="005333E9" w:rsidRPr="001E5BD6" w:rsidRDefault="005333E9" w:rsidP="00AA2133">
            <w:pPr>
              <w:pStyle w:val="RepStandard"/>
              <w:spacing w:before="120" w:after="120"/>
              <w:rPr>
                <w:b/>
              </w:rPr>
            </w:pPr>
            <w:r w:rsidRPr="001E5BD6">
              <w:rPr>
                <w:b/>
              </w:rPr>
              <w:t> </w:t>
            </w:r>
          </w:p>
        </w:tc>
        <w:tc>
          <w:tcPr>
            <w:tcW w:w="816" w:type="dxa"/>
            <w:hideMark/>
          </w:tcPr>
          <w:p w14:paraId="129DAF13" w14:textId="77777777" w:rsidR="005333E9" w:rsidRPr="001225DD" w:rsidRDefault="005333E9" w:rsidP="00AA2133">
            <w:pPr>
              <w:pStyle w:val="RepStandard"/>
              <w:spacing w:before="120" w:after="120"/>
            </w:pPr>
            <w:r w:rsidRPr="001225DD">
              <w:t> </w:t>
            </w:r>
          </w:p>
        </w:tc>
        <w:tc>
          <w:tcPr>
            <w:tcW w:w="718" w:type="dxa"/>
            <w:hideMark/>
          </w:tcPr>
          <w:p w14:paraId="465224B3" w14:textId="77777777" w:rsidR="005333E9" w:rsidRPr="001225DD" w:rsidRDefault="005333E9" w:rsidP="00AA2133">
            <w:pPr>
              <w:pStyle w:val="RepStandard"/>
              <w:spacing w:before="120" w:after="120"/>
            </w:pPr>
            <w:r w:rsidRPr="001225DD">
              <w:t> </w:t>
            </w:r>
          </w:p>
        </w:tc>
        <w:tc>
          <w:tcPr>
            <w:tcW w:w="768" w:type="dxa"/>
            <w:hideMark/>
          </w:tcPr>
          <w:p w14:paraId="5856B4BA" w14:textId="77777777" w:rsidR="005333E9" w:rsidRPr="001225DD" w:rsidRDefault="005333E9" w:rsidP="00AA2133">
            <w:pPr>
              <w:pStyle w:val="RepStandard"/>
              <w:spacing w:before="120" w:after="120"/>
            </w:pPr>
            <w:r w:rsidRPr="001225DD">
              <w:t> </w:t>
            </w:r>
          </w:p>
        </w:tc>
        <w:tc>
          <w:tcPr>
            <w:tcW w:w="767" w:type="dxa"/>
            <w:hideMark/>
          </w:tcPr>
          <w:p w14:paraId="11602B46" w14:textId="77777777" w:rsidR="005333E9" w:rsidRPr="001225DD" w:rsidRDefault="005333E9" w:rsidP="00AA2133">
            <w:pPr>
              <w:pStyle w:val="RepStandard"/>
              <w:spacing w:before="120" w:after="120"/>
            </w:pPr>
            <w:r w:rsidRPr="001225DD">
              <w:t> </w:t>
            </w:r>
          </w:p>
        </w:tc>
        <w:tc>
          <w:tcPr>
            <w:tcW w:w="767" w:type="dxa"/>
            <w:hideMark/>
          </w:tcPr>
          <w:p w14:paraId="3168DEE4" w14:textId="77777777" w:rsidR="005333E9" w:rsidRPr="001225DD" w:rsidRDefault="005333E9" w:rsidP="00AA2133">
            <w:pPr>
              <w:pStyle w:val="RepStandard"/>
              <w:spacing w:before="120" w:after="120"/>
            </w:pPr>
            <w:r w:rsidRPr="001225DD">
              <w:t> </w:t>
            </w:r>
          </w:p>
        </w:tc>
        <w:tc>
          <w:tcPr>
            <w:tcW w:w="768" w:type="dxa"/>
            <w:hideMark/>
          </w:tcPr>
          <w:p w14:paraId="1F3BAF17" w14:textId="77777777" w:rsidR="005333E9" w:rsidRPr="001225DD" w:rsidRDefault="005333E9" w:rsidP="00AA2133">
            <w:pPr>
              <w:pStyle w:val="RepStandard"/>
              <w:spacing w:before="120" w:after="120"/>
            </w:pPr>
            <w:r w:rsidRPr="001225DD">
              <w:t> </w:t>
            </w:r>
          </w:p>
        </w:tc>
        <w:tc>
          <w:tcPr>
            <w:tcW w:w="767" w:type="dxa"/>
            <w:hideMark/>
          </w:tcPr>
          <w:p w14:paraId="4FB8CC29" w14:textId="77777777" w:rsidR="005333E9" w:rsidRPr="001225DD" w:rsidRDefault="005333E9" w:rsidP="00AA2133">
            <w:pPr>
              <w:pStyle w:val="RepStandard"/>
              <w:spacing w:before="120" w:after="120"/>
            </w:pPr>
            <w:r w:rsidRPr="001225DD">
              <w:t> </w:t>
            </w:r>
          </w:p>
        </w:tc>
        <w:tc>
          <w:tcPr>
            <w:tcW w:w="767" w:type="dxa"/>
            <w:hideMark/>
          </w:tcPr>
          <w:p w14:paraId="7F7D33AE" w14:textId="77777777" w:rsidR="005333E9" w:rsidRPr="001225DD" w:rsidRDefault="005333E9" w:rsidP="00AA2133">
            <w:pPr>
              <w:pStyle w:val="RepStandard"/>
              <w:spacing w:before="120" w:after="120"/>
            </w:pPr>
            <w:r w:rsidRPr="001225DD">
              <w:t> </w:t>
            </w:r>
          </w:p>
        </w:tc>
        <w:tc>
          <w:tcPr>
            <w:tcW w:w="768" w:type="dxa"/>
            <w:hideMark/>
          </w:tcPr>
          <w:p w14:paraId="0134A4E8" w14:textId="77777777" w:rsidR="005333E9" w:rsidRPr="001225DD" w:rsidRDefault="005333E9" w:rsidP="00AA2133">
            <w:pPr>
              <w:pStyle w:val="RepStandard"/>
              <w:spacing w:before="120" w:after="120"/>
            </w:pPr>
            <w:r w:rsidRPr="001225DD">
              <w:t> </w:t>
            </w:r>
          </w:p>
        </w:tc>
      </w:tr>
      <w:tr w:rsidR="005333E9" w:rsidRPr="001225DD" w14:paraId="6EAE8248" w14:textId="77777777" w:rsidTr="000A4436">
        <w:trPr>
          <w:trHeight w:val="375"/>
        </w:trPr>
        <w:tc>
          <w:tcPr>
            <w:tcW w:w="988" w:type="dxa"/>
            <w:hideMark/>
          </w:tcPr>
          <w:p w14:paraId="33BCD4AB" w14:textId="77777777" w:rsidR="005333E9" w:rsidRPr="001E5BD6" w:rsidRDefault="005333E9" w:rsidP="00AA2133">
            <w:pPr>
              <w:pStyle w:val="RepStandard"/>
              <w:spacing w:before="120" w:after="120"/>
              <w:rPr>
                <w:b/>
              </w:rPr>
            </w:pPr>
            <w:r w:rsidRPr="001E5BD6">
              <w:rPr>
                <w:b/>
              </w:rPr>
              <w:t>None</w:t>
            </w:r>
          </w:p>
        </w:tc>
        <w:tc>
          <w:tcPr>
            <w:tcW w:w="1168" w:type="dxa"/>
            <w:hideMark/>
          </w:tcPr>
          <w:p w14:paraId="6E376169" w14:textId="77777777" w:rsidR="005333E9" w:rsidRPr="001E5BD6" w:rsidRDefault="005333E9" w:rsidP="00AA2133">
            <w:pPr>
              <w:pStyle w:val="RepStandard"/>
              <w:spacing w:before="120" w:after="120"/>
              <w:rPr>
                <w:b/>
              </w:rPr>
            </w:pPr>
            <w:r w:rsidRPr="001E5BD6">
              <w:rPr>
                <w:b/>
              </w:rPr>
              <w:t>D2 Stream</w:t>
            </w:r>
          </w:p>
        </w:tc>
        <w:tc>
          <w:tcPr>
            <w:tcW w:w="816" w:type="dxa"/>
            <w:hideMark/>
          </w:tcPr>
          <w:p w14:paraId="5DA0E950" w14:textId="77777777" w:rsidR="005333E9" w:rsidRPr="001225DD" w:rsidRDefault="005333E9" w:rsidP="00AA2133">
            <w:pPr>
              <w:pStyle w:val="RepStandard"/>
              <w:spacing w:before="120" w:after="120"/>
            </w:pPr>
            <w:r w:rsidRPr="001225DD">
              <w:t> </w:t>
            </w:r>
          </w:p>
        </w:tc>
        <w:tc>
          <w:tcPr>
            <w:tcW w:w="718" w:type="dxa"/>
            <w:hideMark/>
          </w:tcPr>
          <w:p w14:paraId="012378C2" w14:textId="77777777" w:rsidR="005333E9" w:rsidRPr="001225DD" w:rsidRDefault="005333E9" w:rsidP="00AA2133">
            <w:pPr>
              <w:pStyle w:val="RepStandard"/>
              <w:spacing w:before="120" w:after="120"/>
            </w:pPr>
            <w:r w:rsidRPr="001225DD">
              <w:t> </w:t>
            </w:r>
          </w:p>
        </w:tc>
        <w:tc>
          <w:tcPr>
            <w:tcW w:w="768" w:type="dxa"/>
            <w:hideMark/>
          </w:tcPr>
          <w:p w14:paraId="48DC6405" w14:textId="77777777" w:rsidR="005333E9" w:rsidRPr="001225DD" w:rsidRDefault="005333E9" w:rsidP="00AA2133">
            <w:pPr>
              <w:pStyle w:val="RepStandard"/>
              <w:spacing w:before="120" w:after="120"/>
            </w:pPr>
            <w:r w:rsidRPr="001225DD">
              <w:t> </w:t>
            </w:r>
          </w:p>
        </w:tc>
        <w:tc>
          <w:tcPr>
            <w:tcW w:w="767" w:type="dxa"/>
            <w:hideMark/>
          </w:tcPr>
          <w:p w14:paraId="49F600D7" w14:textId="77777777" w:rsidR="005333E9" w:rsidRPr="001225DD" w:rsidRDefault="005333E9" w:rsidP="00AA2133">
            <w:pPr>
              <w:pStyle w:val="RepStandard"/>
              <w:spacing w:before="120" w:after="120"/>
            </w:pPr>
            <w:r w:rsidRPr="001225DD">
              <w:t> </w:t>
            </w:r>
          </w:p>
        </w:tc>
        <w:tc>
          <w:tcPr>
            <w:tcW w:w="767" w:type="dxa"/>
            <w:hideMark/>
          </w:tcPr>
          <w:p w14:paraId="7D8B020E" w14:textId="77777777" w:rsidR="005333E9" w:rsidRPr="001225DD" w:rsidRDefault="005333E9" w:rsidP="00AA2133">
            <w:pPr>
              <w:pStyle w:val="RepStandard"/>
              <w:spacing w:before="120" w:after="120"/>
            </w:pPr>
            <w:r w:rsidRPr="001225DD">
              <w:t> </w:t>
            </w:r>
          </w:p>
        </w:tc>
        <w:tc>
          <w:tcPr>
            <w:tcW w:w="768" w:type="dxa"/>
            <w:hideMark/>
          </w:tcPr>
          <w:p w14:paraId="58DADE00" w14:textId="77777777" w:rsidR="005333E9" w:rsidRPr="001225DD" w:rsidRDefault="005333E9" w:rsidP="00AA2133">
            <w:pPr>
              <w:pStyle w:val="RepStandard"/>
              <w:spacing w:before="120" w:after="120"/>
            </w:pPr>
            <w:r w:rsidRPr="001225DD">
              <w:t> </w:t>
            </w:r>
          </w:p>
        </w:tc>
        <w:tc>
          <w:tcPr>
            <w:tcW w:w="767" w:type="dxa"/>
            <w:hideMark/>
          </w:tcPr>
          <w:p w14:paraId="5F839D36" w14:textId="77777777" w:rsidR="005333E9" w:rsidRPr="001225DD" w:rsidRDefault="005333E9" w:rsidP="00AA2133">
            <w:pPr>
              <w:pStyle w:val="RepStandard"/>
              <w:spacing w:before="120" w:after="120"/>
            </w:pPr>
            <w:r w:rsidRPr="001225DD">
              <w:t> </w:t>
            </w:r>
          </w:p>
        </w:tc>
        <w:tc>
          <w:tcPr>
            <w:tcW w:w="767" w:type="dxa"/>
            <w:hideMark/>
          </w:tcPr>
          <w:p w14:paraId="5732FA15" w14:textId="77777777" w:rsidR="005333E9" w:rsidRPr="001225DD" w:rsidRDefault="005333E9" w:rsidP="00AA2133">
            <w:pPr>
              <w:pStyle w:val="RepStandard"/>
              <w:spacing w:before="120" w:after="120"/>
            </w:pPr>
            <w:r w:rsidRPr="001225DD">
              <w:t> </w:t>
            </w:r>
          </w:p>
        </w:tc>
        <w:tc>
          <w:tcPr>
            <w:tcW w:w="768" w:type="dxa"/>
            <w:hideMark/>
          </w:tcPr>
          <w:p w14:paraId="59B0CCD2" w14:textId="77777777" w:rsidR="005333E9" w:rsidRPr="001225DD" w:rsidRDefault="005333E9" w:rsidP="00AA2133">
            <w:pPr>
              <w:pStyle w:val="RepStandard"/>
              <w:spacing w:before="120" w:after="120"/>
            </w:pPr>
            <w:r w:rsidRPr="001225DD">
              <w:t> </w:t>
            </w:r>
          </w:p>
        </w:tc>
      </w:tr>
      <w:tr w:rsidR="005333E9" w:rsidRPr="001225DD" w14:paraId="75F9946A" w14:textId="77777777" w:rsidTr="000A4436">
        <w:trPr>
          <w:trHeight w:val="375"/>
        </w:trPr>
        <w:tc>
          <w:tcPr>
            <w:tcW w:w="988" w:type="dxa"/>
            <w:hideMark/>
          </w:tcPr>
          <w:p w14:paraId="37C8F6DF" w14:textId="77777777" w:rsidR="005333E9" w:rsidRPr="001E5BD6" w:rsidRDefault="005333E9" w:rsidP="00AA2133">
            <w:pPr>
              <w:pStyle w:val="RepStandard"/>
              <w:spacing w:before="120" w:after="120"/>
              <w:rPr>
                <w:b/>
              </w:rPr>
            </w:pPr>
            <w:r w:rsidRPr="001E5BD6">
              <w:rPr>
                <w:b/>
              </w:rPr>
              <w:t>50%</w:t>
            </w:r>
          </w:p>
        </w:tc>
        <w:tc>
          <w:tcPr>
            <w:tcW w:w="1168" w:type="dxa"/>
            <w:hideMark/>
          </w:tcPr>
          <w:p w14:paraId="33B3A673" w14:textId="77777777" w:rsidR="005333E9" w:rsidRPr="001E5BD6" w:rsidRDefault="005333E9" w:rsidP="00AA2133">
            <w:pPr>
              <w:pStyle w:val="RepStandard"/>
              <w:spacing w:before="120" w:after="120"/>
              <w:rPr>
                <w:b/>
              </w:rPr>
            </w:pPr>
            <w:r w:rsidRPr="001E5BD6">
              <w:rPr>
                <w:b/>
              </w:rPr>
              <w:t> </w:t>
            </w:r>
          </w:p>
        </w:tc>
        <w:tc>
          <w:tcPr>
            <w:tcW w:w="816" w:type="dxa"/>
            <w:hideMark/>
          </w:tcPr>
          <w:p w14:paraId="0E0550AA" w14:textId="77777777" w:rsidR="005333E9" w:rsidRPr="001225DD" w:rsidRDefault="005333E9" w:rsidP="00AA2133">
            <w:pPr>
              <w:pStyle w:val="RepStandard"/>
              <w:spacing w:before="120" w:after="120"/>
            </w:pPr>
            <w:r w:rsidRPr="001225DD">
              <w:t> </w:t>
            </w:r>
          </w:p>
        </w:tc>
        <w:tc>
          <w:tcPr>
            <w:tcW w:w="718" w:type="dxa"/>
            <w:hideMark/>
          </w:tcPr>
          <w:p w14:paraId="7CF436C9" w14:textId="77777777" w:rsidR="005333E9" w:rsidRPr="001225DD" w:rsidRDefault="005333E9" w:rsidP="00AA2133">
            <w:pPr>
              <w:pStyle w:val="RepStandard"/>
              <w:spacing w:before="120" w:after="120"/>
            </w:pPr>
            <w:r w:rsidRPr="001225DD">
              <w:t> </w:t>
            </w:r>
          </w:p>
        </w:tc>
        <w:tc>
          <w:tcPr>
            <w:tcW w:w="768" w:type="dxa"/>
            <w:hideMark/>
          </w:tcPr>
          <w:p w14:paraId="3FE6C397" w14:textId="77777777" w:rsidR="005333E9" w:rsidRPr="001225DD" w:rsidRDefault="005333E9" w:rsidP="00AA2133">
            <w:pPr>
              <w:pStyle w:val="RepStandard"/>
              <w:spacing w:before="120" w:after="120"/>
            </w:pPr>
            <w:r w:rsidRPr="001225DD">
              <w:t> </w:t>
            </w:r>
          </w:p>
        </w:tc>
        <w:tc>
          <w:tcPr>
            <w:tcW w:w="767" w:type="dxa"/>
            <w:hideMark/>
          </w:tcPr>
          <w:p w14:paraId="12EA5A64" w14:textId="77777777" w:rsidR="005333E9" w:rsidRPr="001225DD" w:rsidRDefault="005333E9" w:rsidP="00AA2133">
            <w:pPr>
              <w:pStyle w:val="RepStandard"/>
              <w:spacing w:before="120" w:after="120"/>
            </w:pPr>
            <w:r w:rsidRPr="001225DD">
              <w:t> </w:t>
            </w:r>
          </w:p>
        </w:tc>
        <w:tc>
          <w:tcPr>
            <w:tcW w:w="767" w:type="dxa"/>
            <w:hideMark/>
          </w:tcPr>
          <w:p w14:paraId="439A5C56" w14:textId="77777777" w:rsidR="005333E9" w:rsidRPr="001225DD" w:rsidRDefault="005333E9" w:rsidP="00AA2133">
            <w:pPr>
              <w:pStyle w:val="RepStandard"/>
              <w:spacing w:before="120" w:after="120"/>
            </w:pPr>
            <w:r w:rsidRPr="001225DD">
              <w:t> </w:t>
            </w:r>
          </w:p>
        </w:tc>
        <w:tc>
          <w:tcPr>
            <w:tcW w:w="768" w:type="dxa"/>
            <w:hideMark/>
          </w:tcPr>
          <w:p w14:paraId="13D516F4" w14:textId="77777777" w:rsidR="005333E9" w:rsidRPr="001225DD" w:rsidRDefault="005333E9" w:rsidP="00AA2133">
            <w:pPr>
              <w:pStyle w:val="RepStandard"/>
              <w:spacing w:before="120" w:after="120"/>
            </w:pPr>
            <w:r w:rsidRPr="001225DD">
              <w:t> </w:t>
            </w:r>
          </w:p>
        </w:tc>
        <w:tc>
          <w:tcPr>
            <w:tcW w:w="767" w:type="dxa"/>
            <w:hideMark/>
          </w:tcPr>
          <w:p w14:paraId="70DE3B98" w14:textId="77777777" w:rsidR="005333E9" w:rsidRPr="001225DD" w:rsidRDefault="005333E9" w:rsidP="00AA2133">
            <w:pPr>
              <w:pStyle w:val="RepStandard"/>
              <w:spacing w:before="120" w:after="120"/>
            </w:pPr>
            <w:r w:rsidRPr="001225DD">
              <w:t> </w:t>
            </w:r>
          </w:p>
        </w:tc>
        <w:tc>
          <w:tcPr>
            <w:tcW w:w="767" w:type="dxa"/>
            <w:hideMark/>
          </w:tcPr>
          <w:p w14:paraId="18A135D3" w14:textId="77777777" w:rsidR="005333E9" w:rsidRPr="001225DD" w:rsidRDefault="005333E9" w:rsidP="00AA2133">
            <w:pPr>
              <w:pStyle w:val="RepStandard"/>
              <w:spacing w:before="120" w:after="120"/>
            </w:pPr>
            <w:r w:rsidRPr="001225DD">
              <w:t> </w:t>
            </w:r>
          </w:p>
        </w:tc>
        <w:tc>
          <w:tcPr>
            <w:tcW w:w="768" w:type="dxa"/>
            <w:hideMark/>
          </w:tcPr>
          <w:p w14:paraId="7B9AA003" w14:textId="77777777" w:rsidR="005333E9" w:rsidRPr="001225DD" w:rsidRDefault="005333E9" w:rsidP="00AA2133">
            <w:pPr>
              <w:pStyle w:val="RepStandard"/>
              <w:spacing w:before="120" w:after="120"/>
            </w:pPr>
            <w:r w:rsidRPr="001225DD">
              <w:t> </w:t>
            </w:r>
          </w:p>
        </w:tc>
      </w:tr>
      <w:tr w:rsidR="005333E9" w:rsidRPr="001225DD" w14:paraId="13702CBB" w14:textId="77777777" w:rsidTr="000A4436">
        <w:trPr>
          <w:trHeight w:val="375"/>
        </w:trPr>
        <w:tc>
          <w:tcPr>
            <w:tcW w:w="988" w:type="dxa"/>
            <w:hideMark/>
          </w:tcPr>
          <w:p w14:paraId="02BF9422" w14:textId="77777777" w:rsidR="005333E9" w:rsidRPr="001E5BD6" w:rsidRDefault="005333E9" w:rsidP="00AA2133">
            <w:pPr>
              <w:pStyle w:val="RepStandard"/>
              <w:spacing w:before="120" w:after="120"/>
              <w:rPr>
                <w:b/>
              </w:rPr>
            </w:pPr>
            <w:r w:rsidRPr="001E5BD6">
              <w:rPr>
                <w:b/>
              </w:rPr>
              <w:t>75%</w:t>
            </w:r>
          </w:p>
        </w:tc>
        <w:tc>
          <w:tcPr>
            <w:tcW w:w="1168" w:type="dxa"/>
            <w:hideMark/>
          </w:tcPr>
          <w:p w14:paraId="0AA285F1" w14:textId="77777777" w:rsidR="005333E9" w:rsidRPr="001E5BD6" w:rsidRDefault="005333E9" w:rsidP="00AA2133">
            <w:pPr>
              <w:pStyle w:val="RepStandard"/>
              <w:spacing w:before="120" w:after="120"/>
              <w:rPr>
                <w:b/>
              </w:rPr>
            </w:pPr>
            <w:r w:rsidRPr="001E5BD6">
              <w:rPr>
                <w:b/>
              </w:rPr>
              <w:t> </w:t>
            </w:r>
          </w:p>
        </w:tc>
        <w:tc>
          <w:tcPr>
            <w:tcW w:w="816" w:type="dxa"/>
            <w:hideMark/>
          </w:tcPr>
          <w:p w14:paraId="17F91AC3" w14:textId="77777777" w:rsidR="005333E9" w:rsidRPr="001225DD" w:rsidRDefault="005333E9" w:rsidP="00AA2133">
            <w:pPr>
              <w:pStyle w:val="RepStandard"/>
              <w:spacing w:before="120" w:after="120"/>
            </w:pPr>
            <w:r w:rsidRPr="001225DD">
              <w:t> </w:t>
            </w:r>
          </w:p>
        </w:tc>
        <w:tc>
          <w:tcPr>
            <w:tcW w:w="718" w:type="dxa"/>
            <w:hideMark/>
          </w:tcPr>
          <w:p w14:paraId="4A847BC1" w14:textId="77777777" w:rsidR="005333E9" w:rsidRPr="001225DD" w:rsidRDefault="005333E9" w:rsidP="00AA2133">
            <w:pPr>
              <w:pStyle w:val="RepStandard"/>
              <w:spacing w:before="120" w:after="120"/>
            </w:pPr>
            <w:r w:rsidRPr="001225DD">
              <w:t> </w:t>
            </w:r>
          </w:p>
        </w:tc>
        <w:tc>
          <w:tcPr>
            <w:tcW w:w="768" w:type="dxa"/>
            <w:hideMark/>
          </w:tcPr>
          <w:p w14:paraId="578C6C4C" w14:textId="77777777" w:rsidR="005333E9" w:rsidRPr="001225DD" w:rsidRDefault="005333E9" w:rsidP="00AA2133">
            <w:pPr>
              <w:pStyle w:val="RepStandard"/>
              <w:spacing w:before="120" w:after="120"/>
            </w:pPr>
            <w:r w:rsidRPr="001225DD">
              <w:t> </w:t>
            </w:r>
          </w:p>
        </w:tc>
        <w:tc>
          <w:tcPr>
            <w:tcW w:w="767" w:type="dxa"/>
            <w:hideMark/>
          </w:tcPr>
          <w:p w14:paraId="41238536" w14:textId="77777777" w:rsidR="005333E9" w:rsidRPr="001225DD" w:rsidRDefault="005333E9" w:rsidP="00AA2133">
            <w:pPr>
              <w:pStyle w:val="RepStandard"/>
              <w:spacing w:before="120" w:after="120"/>
            </w:pPr>
            <w:r w:rsidRPr="001225DD">
              <w:t> </w:t>
            </w:r>
          </w:p>
        </w:tc>
        <w:tc>
          <w:tcPr>
            <w:tcW w:w="767" w:type="dxa"/>
            <w:hideMark/>
          </w:tcPr>
          <w:p w14:paraId="0ABA4E26" w14:textId="77777777" w:rsidR="005333E9" w:rsidRPr="001225DD" w:rsidRDefault="005333E9" w:rsidP="00AA2133">
            <w:pPr>
              <w:pStyle w:val="RepStandard"/>
              <w:spacing w:before="120" w:after="120"/>
            </w:pPr>
            <w:r w:rsidRPr="001225DD">
              <w:t> </w:t>
            </w:r>
          </w:p>
        </w:tc>
        <w:tc>
          <w:tcPr>
            <w:tcW w:w="768" w:type="dxa"/>
            <w:hideMark/>
          </w:tcPr>
          <w:p w14:paraId="2854C001" w14:textId="77777777" w:rsidR="005333E9" w:rsidRPr="001225DD" w:rsidRDefault="005333E9" w:rsidP="00AA2133">
            <w:pPr>
              <w:pStyle w:val="RepStandard"/>
              <w:spacing w:before="120" w:after="120"/>
            </w:pPr>
            <w:r w:rsidRPr="001225DD">
              <w:t> </w:t>
            </w:r>
          </w:p>
        </w:tc>
        <w:tc>
          <w:tcPr>
            <w:tcW w:w="767" w:type="dxa"/>
            <w:hideMark/>
          </w:tcPr>
          <w:p w14:paraId="5656A2AE" w14:textId="77777777" w:rsidR="005333E9" w:rsidRPr="001225DD" w:rsidRDefault="005333E9" w:rsidP="00AA2133">
            <w:pPr>
              <w:pStyle w:val="RepStandard"/>
              <w:spacing w:before="120" w:after="120"/>
            </w:pPr>
            <w:r w:rsidRPr="001225DD">
              <w:t> </w:t>
            </w:r>
          </w:p>
        </w:tc>
        <w:tc>
          <w:tcPr>
            <w:tcW w:w="767" w:type="dxa"/>
            <w:hideMark/>
          </w:tcPr>
          <w:p w14:paraId="54ABCF84" w14:textId="77777777" w:rsidR="005333E9" w:rsidRPr="001225DD" w:rsidRDefault="005333E9" w:rsidP="00AA2133">
            <w:pPr>
              <w:pStyle w:val="RepStandard"/>
              <w:spacing w:before="120" w:after="120"/>
            </w:pPr>
            <w:r w:rsidRPr="001225DD">
              <w:t> </w:t>
            </w:r>
          </w:p>
        </w:tc>
        <w:tc>
          <w:tcPr>
            <w:tcW w:w="768" w:type="dxa"/>
            <w:hideMark/>
          </w:tcPr>
          <w:p w14:paraId="5E44E0C7" w14:textId="77777777" w:rsidR="005333E9" w:rsidRPr="001225DD" w:rsidRDefault="005333E9" w:rsidP="00AA2133">
            <w:pPr>
              <w:pStyle w:val="RepStandard"/>
              <w:spacing w:before="120" w:after="120"/>
            </w:pPr>
            <w:r w:rsidRPr="001225DD">
              <w:t> </w:t>
            </w:r>
          </w:p>
        </w:tc>
      </w:tr>
      <w:tr w:rsidR="005333E9" w:rsidRPr="001225DD" w14:paraId="61525CC6" w14:textId="77777777" w:rsidTr="000A4436">
        <w:trPr>
          <w:trHeight w:val="375"/>
        </w:trPr>
        <w:tc>
          <w:tcPr>
            <w:tcW w:w="988" w:type="dxa"/>
            <w:hideMark/>
          </w:tcPr>
          <w:p w14:paraId="5170ADC4" w14:textId="77777777" w:rsidR="005333E9" w:rsidRPr="001E5BD6" w:rsidRDefault="005333E9" w:rsidP="00AA2133">
            <w:pPr>
              <w:pStyle w:val="RepStandard"/>
              <w:spacing w:before="120" w:after="120"/>
              <w:rPr>
                <w:b/>
              </w:rPr>
            </w:pPr>
            <w:r w:rsidRPr="001E5BD6">
              <w:rPr>
                <w:b/>
              </w:rPr>
              <w:t>90%</w:t>
            </w:r>
          </w:p>
        </w:tc>
        <w:tc>
          <w:tcPr>
            <w:tcW w:w="1168" w:type="dxa"/>
            <w:hideMark/>
          </w:tcPr>
          <w:p w14:paraId="6AC71C01" w14:textId="77777777" w:rsidR="005333E9" w:rsidRPr="001E5BD6" w:rsidRDefault="005333E9" w:rsidP="00AA2133">
            <w:pPr>
              <w:pStyle w:val="RepStandard"/>
              <w:spacing w:before="120" w:after="120"/>
              <w:rPr>
                <w:b/>
              </w:rPr>
            </w:pPr>
            <w:r w:rsidRPr="001E5BD6">
              <w:rPr>
                <w:b/>
              </w:rPr>
              <w:t> </w:t>
            </w:r>
          </w:p>
        </w:tc>
        <w:tc>
          <w:tcPr>
            <w:tcW w:w="816" w:type="dxa"/>
            <w:hideMark/>
          </w:tcPr>
          <w:p w14:paraId="738A5077" w14:textId="77777777" w:rsidR="005333E9" w:rsidRPr="001225DD" w:rsidRDefault="005333E9" w:rsidP="00AA2133">
            <w:pPr>
              <w:pStyle w:val="RepStandard"/>
              <w:spacing w:before="120" w:after="120"/>
            </w:pPr>
            <w:r w:rsidRPr="001225DD">
              <w:t> </w:t>
            </w:r>
          </w:p>
        </w:tc>
        <w:tc>
          <w:tcPr>
            <w:tcW w:w="718" w:type="dxa"/>
            <w:hideMark/>
          </w:tcPr>
          <w:p w14:paraId="1C3DDA0C" w14:textId="77777777" w:rsidR="005333E9" w:rsidRPr="001225DD" w:rsidRDefault="005333E9" w:rsidP="00AA2133">
            <w:pPr>
              <w:pStyle w:val="RepStandard"/>
              <w:spacing w:before="120" w:after="120"/>
            </w:pPr>
            <w:r w:rsidRPr="001225DD">
              <w:t> </w:t>
            </w:r>
          </w:p>
        </w:tc>
        <w:tc>
          <w:tcPr>
            <w:tcW w:w="768" w:type="dxa"/>
            <w:hideMark/>
          </w:tcPr>
          <w:p w14:paraId="0BE2B8BB" w14:textId="77777777" w:rsidR="005333E9" w:rsidRPr="001225DD" w:rsidRDefault="005333E9" w:rsidP="00AA2133">
            <w:pPr>
              <w:pStyle w:val="RepStandard"/>
              <w:spacing w:before="120" w:after="120"/>
            </w:pPr>
            <w:r w:rsidRPr="001225DD">
              <w:t> </w:t>
            </w:r>
          </w:p>
        </w:tc>
        <w:tc>
          <w:tcPr>
            <w:tcW w:w="767" w:type="dxa"/>
            <w:hideMark/>
          </w:tcPr>
          <w:p w14:paraId="13D5A485" w14:textId="77777777" w:rsidR="005333E9" w:rsidRPr="001225DD" w:rsidRDefault="005333E9" w:rsidP="00AA2133">
            <w:pPr>
              <w:pStyle w:val="RepStandard"/>
              <w:spacing w:before="120" w:after="120"/>
            </w:pPr>
            <w:r w:rsidRPr="001225DD">
              <w:t> </w:t>
            </w:r>
          </w:p>
        </w:tc>
        <w:tc>
          <w:tcPr>
            <w:tcW w:w="767" w:type="dxa"/>
            <w:hideMark/>
          </w:tcPr>
          <w:p w14:paraId="061539D8" w14:textId="77777777" w:rsidR="005333E9" w:rsidRPr="001225DD" w:rsidRDefault="005333E9" w:rsidP="00AA2133">
            <w:pPr>
              <w:pStyle w:val="RepStandard"/>
              <w:spacing w:before="120" w:after="120"/>
            </w:pPr>
            <w:r w:rsidRPr="001225DD">
              <w:t> </w:t>
            </w:r>
          </w:p>
        </w:tc>
        <w:tc>
          <w:tcPr>
            <w:tcW w:w="768" w:type="dxa"/>
            <w:hideMark/>
          </w:tcPr>
          <w:p w14:paraId="7758B76E" w14:textId="77777777" w:rsidR="005333E9" w:rsidRPr="001225DD" w:rsidRDefault="005333E9" w:rsidP="00AA2133">
            <w:pPr>
              <w:pStyle w:val="RepStandard"/>
              <w:spacing w:before="120" w:after="120"/>
            </w:pPr>
            <w:r w:rsidRPr="001225DD">
              <w:t> </w:t>
            </w:r>
          </w:p>
        </w:tc>
        <w:tc>
          <w:tcPr>
            <w:tcW w:w="767" w:type="dxa"/>
            <w:hideMark/>
          </w:tcPr>
          <w:p w14:paraId="2181FE5C" w14:textId="77777777" w:rsidR="005333E9" w:rsidRPr="001225DD" w:rsidRDefault="005333E9" w:rsidP="00AA2133">
            <w:pPr>
              <w:pStyle w:val="RepStandard"/>
              <w:spacing w:before="120" w:after="120"/>
            </w:pPr>
            <w:r w:rsidRPr="001225DD">
              <w:t> </w:t>
            </w:r>
          </w:p>
        </w:tc>
        <w:tc>
          <w:tcPr>
            <w:tcW w:w="767" w:type="dxa"/>
            <w:hideMark/>
          </w:tcPr>
          <w:p w14:paraId="1307CB98" w14:textId="77777777" w:rsidR="005333E9" w:rsidRPr="001225DD" w:rsidRDefault="005333E9" w:rsidP="00AA2133">
            <w:pPr>
              <w:pStyle w:val="RepStandard"/>
              <w:spacing w:before="120" w:after="120"/>
            </w:pPr>
            <w:r w:rsidRPr="001225DD">
              <w:t> </w:t>
            </w:r>
          </w:p>
        </w:tc>
        <w:tc>
          <w:tcPr>
            <w:tcW w:w="768" w:type="dxa"/>
            <w:hideMark/>
          </w:tcPr>
          <w:p w14:paraId="2D1A343A" w14:textId="77777777" w:rsidR="005333E9" w:rsidRPr="001225DD" w:rsidRDefault="005333E9" w:rsidP="00AA2133">
            <w:pPr>
              <w:pStyle w:val="RepStandard"/>
              <w:spacing w:before="120" w:after="120"/>
            </w:pPr>
            <w:r w:rsidRPr="001225DD">
              <w:t> </w:t>
            </w:r>
          </w:p>
        </w:tc>
      </w:tr>
      <w:tr w:rsidR="005333E9" w:rsidRPr="001225DD" w14:paraId="649453A9" w14:textId="77777777" w:rsidTr="000A4436">
        <w:trPr>
          <w:trHeight w:val="375"/>
        </w:trPr>
        <w:tc>
          <w:tcPr>
            <w:tcW w:w="988" w:type="dxa"/>
            <w:hideMark/>
          </w:tcPr>
          <w:p w14:paraId="2FBE119D" w14:textId="77777777" w:rsidR="005333E9" w:rsidRPr="001E5BD6" w:rsidRDefault="005333E9" w:rsidP="00AA2133">
            <w:pPr>
              <w:pStyle w:val="RepStandard"/>
              <w:spacing w:before="120" w:after="120"/>
              <w:rPr>
                <w:b/>
              </w:rPr>
            </w:pPr>
            <w:r w:rsidRPr="001E5BD6">
              <w:rPr>
                <w:b/>
              </w:rPr>
              <w:t>None</w:t>
            </w:r>
          </w:p>
        </w:tc>
        <w:tc>
          <w:tcPr>
            <w:tcW w:w="1168" w:type="dxa"/>
            <w:hideMark/>
          </w:tcPr>
          <w:p w14:paraId="29B68D47" w14:textId="77777777" w:rsidR="005333E9" w:rsidRPr="001E5BD6" w:rsidRDefault="005333E9" w:rsidP="00AA2133">
            <w:pPr>
              <w:pStyle w:val="RepStandard"/>
              <w:spacing w:before="120" w:after="120"/>
              <w:rPr>
                <w:b/>
              </w:rPr>
            </w:pPr>
            <w:r w:rsidRPr="001E5BD6">
              <w:rPr>
                <w:b/>
              </w:rPr>
              <w:t>D3 Ditch</w:t>
            </w:r>
          </w:p>
        </w:tc>
        <w:tc>
          <w:tcPr>
            <w:tcW w:w="816" w:type="dxa"/>
            <w:hideMark/>
          </w:tcPr>
          <w:p w14:paraId="5B569D15" w14:textId="77777777" w:rsidR="005333E9" w:rsidRPr="001225DD" w:rsidRDefault="005333E9" w:rsidP="00AA2133">
            <w:pPr>
              <w:pStyle w:val="RepStandard"/>
              <w:spacing w:before="120" w:after="120"/>
            </w:pPr>
            <w:r w:rsidRPr="001225DD">
              <w:t> </w:t>
            </w:r>
          </w:p>
        </w:tc>
        <w:tc>
          <w:tcPr>
            <w:tcW w:w="718" w:type="dxa"/>
            <w:hideMark/>
          </w:tcPr>
          <w:p w14:paraId="24D502A0" w14:textId="77777777" w:rsidR="005333E9" w:rsidRPr="001225DD" w:rsidRDefault="005333E9" w:rsidP="00AA2133">
            <w:pPr>
              <w:pStyle w:val="RepStandard"/>
              <w:spacing w:before="120" w:after="120"/>
            </w:pPr>
            <w:r w:rsidRPr="001225DD">
              <w:t> </w:t>
            </w:r>
          </w:p>
        </w:tc>
        <w:tc>
          <w:tcPr>
            <w:tcW w:w="768" w:type="dxa"/>
            <w:hideMark/>
          </w:tcPr>
          <w:p w14:paraId="1AD27F5B" w14:textId="77777777" w:rsidR="005333E9" w:rsidRPr="001225DD" w:rsidRDefault="005333E9" w:rsidP="00AA2133">
            <w:pPr>
              <w:pStyle w:val="RepStandard"/>
              <w:spacing w:before="120" w:after="120"/>
            </w:pPr>
            <w:r w:rsidRPr="001225DD">
              <w:t> </w:t>
            </w:r>
          </w:p>
        </w:tc>
        <w:tc>
          <w:tcPr>
            <w:tcW w:w="767" w:type="dxa"/>
            <w:hideMark/>
          </w:tcPr>
          <w:p w14:paraId="186C87A0" w14:textId="77777777" w:rsidR="005333E9" w:rsidRPr="001225DD" w:rsidRDefault="005333E9" w:rsidP="00AA2133">
            <w:pPr>
              <w:pStyle w:val="RepStandard"/>
              <w:spacing w:before="120" w:after="120"/>
            </w:pPr>
            <w:r w:rsidRPr="001225DD">
              <w:t> </w:t>
            </w:r>
          </w:p>
        </w:tc>
        <w:tc>
          <w:tcPr>
            <w:tcW w:w="767" w:type="dxa"/>
            <w:hideMark/>
          </w:tcPr>
          <w:p w14:paraId="169BB622" w14:textId="77777777" w:rsidR="005333E9" w:rsidRPr="001225DD" w:rsidRDefault="005333E9" w:rsidP="00AA2133">
            <w:pPr>
              <w:pStyle w:val="RepStandard"/>
              <w:spacing w:before="120" w:after="120"/>
            </w:pPr>
            <w:r w:rsidRPr="001225DD">
              <w:t> </w:t>
            </w:r>
          </w:p>
        </w:tc>
        <w:tc>
          <w:tcPr>
            <w:tcW w:w="768" w:type="dxa"/>
            <w:hideMark/>
          </w:tcPr>
          <w:p w14:paraId="6EA6E1E2" w14:textId="77777777" w:rsidR="005333E9" w:rsidRPr="001225DD" w:rsidRDefault="005333E9" w:rsidP="00AA2133">
            <w:pPr>
              <w:pStyle w:val="RepStandard"/>
              <w:spacing w:before="120" w:after="120"/>
            </w:pPr>
            <w:r w:rsidRPr="001225DD">
              <w:t> </w:t>
            </w:r>
          </w:p>
        </w:tc>
        <w:tc>
          <w:tcPr>
            <w:tcW w:w="767" w:type="dxa"/>
            <w:hideMark/>
          </w:tcPr>
          <w:p w14:paraId="13348966" w14:textId="77777777" w:rsidR="005333E9" w:rsidRPr="001225DD" w:rsidRDefault="005333E9" w:rsidP="00AA2133">
            <w:pPr>
              <w:pStyle w:val="RepStandard"/>
              <w:spacing w:before="120" w:after="120"/>
            </w:pPr>
            <w:r w:rsidRPr="001225DD">
              <w:t> </w:t>
            </w:r>
          </w:p>
        </w:tc>
        <w:tc>
          <w:tcPr>
            <w:tcW w:w="767" w:type="dxa"/>
            <w:hideMark/>
          </w:tcPr>
          <w:p w14:paraId="6187CFEA" w14:textId="77777777" w:rsidR="005333E9" w:rsidRPr="001225DD" w:rsidRDefault="005333E9" w:rsidP="00AA2133">
            <w:pPr>
              <w:pStyle w:val="RepStandard"/>
              <w:spacing w:before="120" w:after="120"/>
            </w:pPr>
            <w:r w:rsidRPr="001225DD">
              <w:t> </w:t>
            </w:r>
          </w:p>
        </w:tc>
        <w:tc>
          <w:tcPr>
            <w:tcW w:w="768" w:type="dxa"/>
            <w:hideMark/>
          </w:tcPr>
          <w:p w14:paraId="32403740" w14:textId="77777777" w:rsidR="005333E9" w:rsidRPr="001225DD" w:rsidRDefault="005333E9" w:rsidP="00AA2133">
            <w:pPr>
              <w:pStyle w:val="RepStandard"/>
              <w:spacing w:before="120" w:after="120"/>
            </w:pPr>
            <w:r w:rsidRPr="001225DD">
              <w:t> </w:t>
            </w:r>
          </w:p>
        </w:tc>
      </w:tr>
      <w:tr w:rsidR="005333E9" w:rsidRPr="001225DD" w14:paraId="4BD505FB" w14:textId="77777777" w:rsidTr="000A4436">
        <w:trPr>
          <w:trHeight w:val="375"/>
        </w:trPr>
        <w:tc>
          <w:tcPr>
            <w:tcW w:w="988" w:type="dxa"/>
            <w:hideMark/>
          </w:tcPr>
          <w:p w14:paraId="295A6A30" w14:textId="77777777" w:rsidR="005333E9" w:rsidRPr="001E5BD6" w:rsidRDefault="005333E9" w:rsidP="00AA2133">
            <w:pPr>
              <w:pStyle w:val="RepStandard"/>
              <w:spacing w:before="120" w:after="120"/>
              <w:rPr>
                <w:b/>
              </w:rPr>
            </w:pPr>
            <w:r w:rsidRPr="001E5BD6">
              <w:rPr>
                <w:b/>
              </w:rPr>
              <w:t>50%</w:t>
            </w:r>
          </w:p>
        </w:tc>
        <w:tc>
          <w:tcPr>
            <w:tcW w:w="1168" w:type="dxa"/>
            <w:hideMark/>
          </w:tcPr>
          <w:p w14:paraId="0CA88D94" w14:textId="77777777" w:rsidR="005333E9" w:rsidRPr="001E5BD6" w:rsidRDefault="005333E9" w:rsidP="00AA2133">
            <w:pPr>
              <w:pStyle w:val="RepStandard"/>
              <w:spacing w:before="120" w:after="120"/>
              <w:rPr>
                <w:b/>
              </w:rPr>
            </w:pPr>
            <w:r w:rsidRPr="001E5BD6">
              <w:rPr>
                <w:b/>
              </w:rPr>
              <w:t> </w:t>
            </w:r>
          </w:p>
        </w:tc>
        <w:tc>
          <w:tcPr>
            <w:tcW w:w="816" w:type="dxa"/>
            <w:hideMark/>
          </w:tcPr>
          <w:p w14:paraId="394C2DF3" w14:textId="77777777" w:rsidR="005333E9" w:rsidRPr="001225DD" w:rsidRDefault="005333E9" w:rsidP="00AA2133">
            <w:pPr>
              <w:pStyle w:val="RepStandard"/>
              <w:spacing w:before="120" w:after="120"/>
            </w:pPr>
            <w:r w:rsidRPr="001225DD">
              <w:t> </w:t>
            </w:r>
          </w:p>
        </w:tc>
        <w:tc>
          <w:tcPr>
            <w:tcW w:w="718" w:type="dxa"/>
            <w:hideMark/>
          </w:tcPr>
          <w:p w14:paraId="3A8B8C2F" w14:textId="77777777" w:rsidR="005333E9" w:rsidRPr="001225DD" w:rsidRDefault="005333E9" w:rsidP="00AA2133">
            <w:pPr>
              <w:pStyle w:val="RepStandard"/>
              <w:spacing w:before="120" w:after="120"/>
            </w:pPr>
            <w:r w:rsidRPr="001225DD">
              <w:t> </w:t>
            </w:r>
          </w:p>
        </w:tc>
        <w:tc>
          <w:tcPr>
            <w:tcW w:w="768" w:type="dxa"/>
            <w:hideMark/>
          </w:tcPr>
          <w:p w14:paraId="168DB6CD" w14:textId="77777777" w:rsidR="005333E9" w:rsidRPr="001225DD" w:rsidRDefault="005333E9" w:rsidP="00AA2133">
            <w:pPr>
              <w:pStyle w:val="RepStandard"/>
              <w:spacing w:before="120" w:after="120"/>
            </w:pPr>
            <w:r w:rsidRPr="001225DD">
              <w:t> </w:t>
            </w:r>
          </w:p>
        </w:tc>
        <w:tc>
          <w:tcPr>
            <w:tcW w:w="767" w:type="dxa"/>
            <w:hideMark/>
          </w:tcPr>
          <w:p w14:paraId="55AA9423" w14:textId="77777777" w:rsidR="005333E9" w:rsidRPr="001225DD" w:rsidRDefault="005333E9" w:rsidP="00AA2133">
            <w:pPr>
              <w:pStyle w:val="RepStandard"/>
              <w:spacing w:before="120" w:after="120"/>
            </w:pPr>
            <w:r w:rsidRPr="001225DD">
              <w:t> </w:t>
            </w:r>
          </w:p>
        </w:tc>
        <w:tc>
          <w:tcPr>
            <w:tcW w:w="767" w:type="dxa"/>
            <w:hideMark/>
          </w:tcPr>
          <w:p w14:paraId="0C01EF5D" w14:textId="77777777" w:rsidR="005333E9" w:rsidRPr="001225DD" w:rsidRDefault="005333E9" w:rsidP="00AA2133">
            <w:pPr>
              <w:pStyle w:val="RepStandard"/>
              <w:spacing w:before="120" w:after="120"/>
            </w:pPr>
            <w:r w:rsidRPr="001225DD">
              <w:t> </w:t>
            </w:r>
          </w:p>
        </w:tc>
        <w:tc>
          <w:tcPr>
            <w:tcW w:w="768" w:type="dxa"/>
            <w:hideMark/>
          </w:tcPr>
          <w:p w14:paraId="414884CC" w14:textId="77777777" w:rsidR="005333E9" w:rsidRPr="001225DD" w:rsidRDefault="005333E9" w:rsidP="00AA2133">
            <w:pPr>
              <w:pStyle w:val="RepStandard"/>
              <w:spacing w:before="120" w:after="120"/>
            </w:pPr>
            <w:r w:rsidRPr="001225DD">
              <w:t> </w:t>
            </w:r>
          </w:p>
        </w:tc>
        <w:tc>
          <w:tcPr>
            <w:tcW w:w="767" w:type="dxa"/>
            <w:hideMark/>
          </w:tcPr>
          <w:p w14:paraId="161B60ED" w14:textId="77777777" w:rsidR="005333E9" w:rsidRPr="001225DD" w:rsidRDefault="005333E9" w:rsidP="00AA2133">
            <w:pPr>
              <w:pStyle w:val="RepStandard"/>
              <w:spacing w:before="120" w:after="120"/>
            </w:pPr>
            <w:r w:rsidRPr="001225DD">
              <w:t> </w:t>
            </w:r>
          </w:p>
        </w:tc>
        <w:tc>
          <w:tcPr>
            <w:tcW w:w="767" w:type="dxa"/>
            <w:hideMark/>
          </w:tcPr>
          <w:p w14:paraId="33621D45" w14:textId="77777777" w:rsidR="005333E9" w:rsidRPr="001225DD" w:rsidRDefault="005333E9" w:rsidP="00AA2133">
            <w:pPr>
              <w:pStyle w:val="RepStandard"/>
              <w:spacing w:before="120" w:after="120"/>
            </w:pPr>
            <w:r w:rsidRPr="001225DD">
              <w:t> </w:t>
            </w:r>
          </w:p>
        </w:tc>
        <w:tc>
          <w:tcPr>
            <w:tcW w:w="768" w:type="dxa"/>
            <w:hideMark/>
          </w:tcPr>
          <w:p w14:paraId="5609AA3F" w14:textId="77777777" w:rsidR="005333E9" w:rsidRPr="001225DD" w:rsidRDefault="005333E9" w:rsidP="00AA2133">
            <w:pPr>
              <w:pStyle w:val="RepStandard"/>
              <w:spacing w:before="120" w:after="120"/>
            </w:pPr>
            <w:r w:rsidRPr="001225DD">
              <w:t> </w:t>
            </w:r>
          </w:p>
        </w:tc>
      </w:tr>
      <w:tr w:rsidR="005333E9" w:rsidRPr="001225DD" w14:paraId="02AB4997" w14:textId="77777777" w:rsidTr="000A4436">
        <w:trPr>
          <w:trHeight w:val="375"/>
        </w:trPr>
        <w:tc>
          <w:tcPr>
            <w:tcW w:w="988" w:type="dxa"/>
            <w:hideMark/>
          </w:tcPr>
          <w:p w14:paraId="465358E2" w14:textId="77777777" w:rsidR="005333E9" w:rsidRPr="001E5BD6" w:rsidRDefault="005333E9" w:rsidP="00AA2133">
            <w:pPr>
              <w:pStyle w:val="RepStandard"/>
              <w:spacing w:before="120" w:after="120"/>
              <w:rPr>
                <w:b/>
              </w:rPr>
            </w:pPr>
            <w:r w:rsidRPr="001E5BD6">
              <w:rPr>
                <w:b/>
              </w:rPr>
              <w:t>75%</w:t>
            </w:r>
          </w:p>
        </w:tc>
        <w:tc>
          <w:tcPr>
            <w:tcW w:w="1168" w:type="dxa"/>
            <w:hideMark/>
          </w:tcPr>
          <w:p w14:paraId="0685A2C2" w14:textId="77777777" w:rsidR="005333E9" w:rsidRPr="001E5BD6" w:rsidRDefault="005333E9" w:rsidP="00AA2133">
            <w:pPr>
              <w:pStyle w:val="RepStandard"/>
              <w:spacing w:before="120" w:after="120"/>
              <w:rPr>
                <w:b/>
              </w:rPr>
            </w:pPr>
            <w:r w:rsidRPr="001E5BD6">
              <w:rPr>
                <w:b/>
              </w:rPr>
              <w:t> </w:t>
            </w:r>
          </w:p>
        </w:tc>
        <w:tc>
          <w:tcPr>
            <w:tcW w:w="816" w:type="dxa"/>
            <w:hideMark/>
          </w:tcPr>
          <w:p w14:paraId="4FC198FC" w14:textId="77777777" w:rsidR="005333E9" w:rsidRPr="001225DD" w:rsidRDefault="005333E9" w:rsidP="00AA2133">
            <w:pPr>
              <w:pStyle w:val="RepStandard"/>
              <w:spacing w:before="120" w:after="120"/>
            </w:pPr>
            <w:r w:rsidRPr="001225DD">
              <w:t> </w:t>
            </w:r>
          </w:p>
        </w:tc>
        <w:tc>
          <w:tcPr>
            <w:tcW w:w="718" w:type="dxa"/>
            <w:hideMark/>
          </w:tcPr>
          <w:p w14:paraId="5116D157" w14:textId="77777777" w:rsidR="005333E9" w:rsidRPr="001225DD" w:rsidRDefault="005333E9" w:rsidP="00AA2133">
            <w:pPr>
              <w:pStyle w:val="RepStandard"/>
              <w:spacing w:before="120" w:after="120"/>
            </w:pPr>
            <w:r w:rsidRPr="001225DD">
              <w:t> </w:t>
            </w:r>
          </w:p>
        </w:tc>
        <w:tc>
          <w:tcPr>
            <w:tcW w:w="768" w:type="dxa"/>
            <w:hideMark/>
          </w:tcPr>
          <w:p w14:paraId="7369CF9E" w14:textId="77777777" w:rsidR="005333E9" w:rsidRPr="001225DD" w:rsidRDefault="005333E9" w:rsidP="00AA2133">
            <w:pPr>
              <w:pStyle w:val="RepStandard"/>
              <w:spacing w:before="120" w:after="120"/>
            </w:pPr>
            <w:r w:rsidRPr="001225DD">
              <w:t> </w:t>
            </w:r>
          </w:p>
        </w:tc>
        <w:tc>
          <w:tcPr>
            <w:tcW w:w="767" w:type="dxa"/>
            <w:hideMark/>
          </w:tcPr>
          <w:p w14:paraId="3D4ED882" w14:textId="77777777" w:rsidR="005333E9" w:rsidRPr="001225DD" w:rsidRDefault="005333E9" w:rsidP="00AA2133">
            <w:pPr>
              <w:pStyle w:val="RepStandard"/>
              <w:spacing w:before="120" w:after="120"/>
            </w:pPr>
            <w:r w:rsidRPr="001225DD">
              <w:t> </w:t>
            </w:r>
          </w:p>
        </w:tc>
        <w:tc>
          <w:tcPr>
            <w:tcW w:w="767" w:type="dxa"/>
            <w:hideMark/>
          </w:tcPr>
          <w:p w14:paraId="14D4D3AA" w14:textId="77777777" w:rsidR="005333E9" w:rsidRPr="001225DD" w:rsidRDefault="005333E9" w:rsidP="00AA2133">
            <w:pPr>
              <w:pStyle w:val="RepStandard"/>
              <w:spacing w:before="120" w:after="120"/>
            </w:pPr>
            <w:r w:rsidRPr="001225DD">
              <w:t> </w:t>
            </w:r>
          </w:p>
        </w:tc>
        <w:tc>
          <w:tcPr>
            <w:tcW w:w="768" w:type="dxa"/>
            <w:hideMark/>
          </w:tcPr>
          <w:p w14:paraId="43C8CB78" w14:textId="77777777" w:rsidR="005333E9" w:rsidRPr="001225DD" w:rsidRDefault="005333E9" w:rsidP="00AA2133">
            <w:pPr>
              <w:pStyle w:val="RepStandard"/>
              <w:spacing w:before="120" w:after="120"/>
            </w:pPr>
            <w:r w:rsidRPr="001225DD">
              <w:t> </w:t>
            </w:r>
          </w:p>
        </w:tc>
        <w:tc>
          <w:tcPr>
            <w:tcW w:w="767" w:type="dxa"/>
            <w:hideMark/>
          </w:tcPr>
          <w:p w14:paraId="0932829A" w14:textId="77777777" w:rsidR="005333E9" w:rsidRPr="001225DD" w:rsidRDefault="005333E9" w:rsidP="00AA2133">
            <w:pPr>
              <w:pStyle w:val="RepStandard"/>
              <w:spacing w:before="120" w:after="120"/>
            </w:pPr>
            <w:r w:rsidRPr="001225DD">
              <w:t> </w:t>
            </w:r>
          </w:p>
        </w:tc>
        <w:tc>
          <w:tcPr>
            <w:tcW w:w="767" w:type="dxa"/>
            <w:hideMark/>
          </w:tcPr>
          <w:p w14:paraId="71C916C6" w14:textId="77777777" w:rsidR="005333E9" w:rsidRPr="001225DD" w:rsidRDefault="005333E9" w:rsidP="00AA2133">
            <w:pPr>
              <w:pStyle w:val="RepStandard"/>
              <w:spacing w:before="120" w:after="120"/>
            </w:pPr>
            <w:r w:rsidRPr="001225DD">
              <w:t> </w:t>
            </w:r>
          </w:p>
        </w:tc>
        <w:tc>
          <w:tcPr>
            <w:tcW w:w="768" w:type="dxa"/>
            <w:hideMark/>
          </w:tcPr>
          <w:p w14:paraId="4A7B990C" w14:textId="77777777" w:rsidR="005333E9" w:rsidRPr="001225DD" w:rsidRDefault="005333E9" w:rsidP="00AA2133">
            <w:pPr>
              <w:pStyle w:val="RepStandard"/>
              <w:spacing w:before="120" w:after="120"/>
            </w:pPr>
            <w:r w:rsidRPr="001225DD">
              <w:t> </w:t>
            </w:r>
          </w:p>
        </w:tc>
      </w:tr>
      <w:tr w:rsidR="005333E9" w:rsidRPr="001225DD" w14:paraId="78CADB14" w14:textId="77777777" w:rsidTr="000A4436">
        <w:trPr>
          <w:trHeight w:val="375"/>
        </w:trPr>
        <w:tc>
          <w:tcPr>
            <w:tcW w:w="988" w:type="dxa"/>
            <w:hideMark/>
          </w:tcPr>
          <w:p w14:paraId="0032CC5F" w14:textId="77777777" w:rsidR="005333E9" w:rsidRPr="001E5BD6" w:rsidRDefault="005333E9" w:rsidP="00AA2133">
            <w:pPr>
              <w:pStyle w:val="RepStandard"/>
              <w:spacing w:before="120" w:after="120"/>
              <w:rPr>
                <w:b/>
              </w:rPr>
            </w:pPr>
            <w:r w:rsidRPr="001E5BD6">
              <w:rPr>
                <w:b/>
              </w:rPr>
              <w:t>90%</w:t>
            </w:r>
          </w:p>
        </w:tc>
        <w:tc>
          <w:tcPr>
            <w:tcW w:w="1168" w:type="dxa"/>
            <w:hideMark/>
          </w:tcPr>
          <w:p w14:paraId="37D719ED" w14:textId="77777777" w:rsidR="005333E9" w:rsidRPr="001E5BD6" w:rsidRDefault="005333E9" w:rsidP="00AA2133">
            <w:pPr>
              <w:pStyle w:val="RepStandard"/>
              <w:spacing w:before="120" w:after="120"/>
              <w:rPr>
                <w:b/>
              </w:rPr>
            </w:pPr>
            <w:r w:rsidRPr="001E5BD6">
              <w:rPr>
                <w:b/>
              </w:rPr>
              <w:t> </w:t>
            </w:r>
          </w:p>
        </w:tc>
        <w:tc>
          <w:tcPr>
            <w:tcW w:w="816" w:type="dxa"/>
            <w:hideMark/>
          </w:tcPr>
          <w:p w14:paraId="520A7986" w14:textId="77777777" w:rsidR="005333E9" w:rsidRPr="001225DD" w:rsidRDefault="005333E9" w:rsidP="00AA2133">
            <w:pPr>
              <w:pStyle w:val="RepStandard"/>
              <w:spacing w:before="120" w:after="120"/>
            </w:pPr>
            <w:r w:rsidRPr="001225DD">
              <w:t> </w:t>
            </w:r>
          </w:p>
        </w:tc>
        <w:tc>
          <w:tcPr>
            <w:tcW w:w="718" w:type="dxa"/>
            <w:hideMark/>
          </w:tcPr>
          <w:p w14:paraId="76E4F0DA" w14:textId="77777777" w:rsidR="005333E9" w:rsidRPr="001225DD" w:rsidRDefault="005333E9" w:rsidP="00AA2133">
            <w:pPr>
              <w:pStyle w:val="RepStandard"/>
              <w:spacing w:before="120" w:after="120"/>
            </w:pPr>
            <w:r w:rsidRPr="001225DD">
              <w:t> </w:t>
            </w:r>
          </w:p>
        </w:tc>
        <w:tc>
          <w:tcPr>
            <w:tcW w:w="768" w:type="dxa"/>
            <w:hideMark/>
          </w:tcPr>
          <w:p w14:paraId="47F8DFF8" w14:textId="77777777" w:rsidR="005333E9" w:rsidRPr="001225DD" w:rsidRDefault="005333E9" w:rsidP="00AA2133">
            <w:pPr>
              <w:pStyle w:val="RepStandard"/>
              <w:spacing w:before="120" w:after="120"/>
            </w:pPr>
            <w:r w:rsidRPr="001225DD">
              <w:t> </w:t>
            </w:r>
          </w:p>
        </w:tc>
        <w:tc>
          <w:tcPr>
            <w:tcW w:w="767" w:type="dxa"/>
            <w:hideMark/>
          </w:tcPr>
          <w:p w14:paraId="31B501D7" w14:textId="77777777" w:rsidR="005333E9" w:rsidRPr="001225DD" w:rsidRDefault="005333E9" w:rsidP="00AA2133">
            <w:pPr>
              <w:pStyle w:val="RepStandard"/>
              <w:spacing w:before="120" w:after="120"/>
            </w:pPr>
            <w:r w:rsidRPr="001225DD">
              <w:t> </w:t>
            </w:r>
          </w:p>
        </w:tc>
        <w:tc>
          <w:tcPr>
            <w:tcW w:w="767" w:type="dxa"/>
            <w:hideMark/>
          </w:tcPr>
          <w:p w14:paraId="0814594B" w14:textId="77777777" w:rsidR="005333E9" w:rsidRPr="001225DD" w:rsidRDefault="005333E9" w:rsidP="00AA2133">
            <w:pPr>
              <w:pStyle w:val="RepStandard"/>
              <w:spacing w:before="120" w:after="120"/>
            </w:pPr>
            <w:r w:rsidRPr="001225DD">
              <w:t> </w:t>
            </w:r>
          </w:p>
        </w:tc>
        <w:tc>
          <w:tcPr>
            <w:tcW w:w="768" w:type="dxa"/>
            <w:hideMark/>
          </w:tcPr>
          <w:p w14:paraId="0FB250F7" w14:textId="77777777" w:rsidR="005333E9" w:rsidRPr="001225DD" w:rsidRDefault="005333E9" w:rsidP="00AA2133">
            <w:pPr>
              <w:pStyle w:val="RepStandard"/>
              <w:spacing w:before="120" w:after="120"/>
            </w:pPr>
            <w:r w:rsidRPr="001225DD">
              <w:t> </w:t>
            </w:r>
          </w:p>
        </w:tc>
        <w:tc>
          <w:tcPr>
            <w:tcW w:w="767" w:type="dxa"/>
            <w:hideMark/>
          </w:tcPr>
          <w:p w14:paraId="46D8C87B" w14:textId="77777777" w:rsidR="005333E9" w:rsidRPr="001225DD" w:rsidRDefault="005333E9" w:rsidP="00AA2133">
            <w:pPr>
              <w:pStyle w:val="RepStandard"/>
              <w:spacing w:before="120" w:after="120"/>
            </w:pPr>
            <w:r w:rsidRPr="001225DD">
              <w:t> </w:t>
            </w:r>
          </w:p>
        </w:tc>
        <w:tc>
          <w:tcPr>
            <w:tcW w:w="767" w:type="dxa"/>
            <w:hideMark/>
          </w:tcPr>
          <w:p w14:paraId="058FEBBB" w14:textId="77777777" w:rsidR="005333E9" w:rsidRPr="001225DD" w:rsidRDefault="005333E9" w:rsidP="00AA2133">
            <w:pPr>
              <w:pStyle w:val="RepStandard"/>
              <w:spacing w:before="120" w:after="120"/>
            </w:pPr>
            <w:r w:rsidRPr="001225DD">
              <w:t> </w:t>
            </w:r>
          </w:p>
        </w:tc>
        <w:tc>
          <w:tcPr>
            <w:tcW w:w="768" w:type="dxa"/>
            <w:hideMark/>
          </w:tcPr>
          <w:p w14:paraId="7D531EA0" w14:textId="77777777" w:rsidR="005333E9" w:rsidRPr="001225DD" w:rsidRDefault="005333E9" w:rsidP="00AA2133">
            <w:pPr>
              <w:pStyle w:val="RepStandard"/>
              <w:spacing w:before="120" w:after="120"/>
            </w:pPr>
            <w:r w:rsidRPr="001225DD">
              <w:t> </w:t>
            </w:r>
          </w:p>
        </w:tc>
      </w:tr>
      <w:tr w:rsidR="005333E9" w:rsidRPr="001225DD" w14:paraId="4070BDC2" w14:textId="77777777" w:rsidTr="000A4436">
        <w:trPr>
          <w:trHeight w:val="375"/>
        </w:trPr>
        <w:tc>
          <w:tcPr>
            <w:tcW w:w="988" w:type="dxa"/>
            <w:hideMark/>
          </w:tcPr>
          <w:p w14:paraId="19439151" w14:textId="77777777" w:rsidR="005333E9" w:rsidRPr="001E5BD6" w:rsidRDefault="005333E9" w:rsidP="00AA2133">
            <w:pPr>
              <w:pStyle w:val="RepStandard"/>
              <w:spacing w:before="120" w:after="120"/>
              <w:rPr>
                <w:b/>
              </w:rPr>
            </w:pPr>
            <w:r w:rsidRPr="001E5BD6">
              <w:rPr>
                <w:b/>
              </w:rPr>
              <w:t>None</w:t>
            </w:r>
          </w:p>
        </w:tc>
        <w:tc>
          <w:tcPr>
            <w:tcW w:w="1168" w:type="dxa"/>
            <w:hideMark/>
          </w:tcPr>
          <w:p w14:paraId="502A9E6D" w14:textId="77777777" w:rsidR="005333E9" w:rsidRPr="001E5BD6" w:rsidRDefault="005333E9" w:rsidP="00AA2133">
            <w:pPr>
              <w:pStyle w:val="RepStandard"/>
              <w:spacing w:before="120" w:after="120"/>
              <w:rPr>
                <w:b/>
              </w:rPr>
            </w:pPr>
            <w:r w:rsidRPr="001E5BD6">
              <w:rPr>
                <w:b/>
              </w:rPr>
              <w:t>D4 Pond</w:t>
            </w:r>
          </w:p>
        </w:tc>
        <w:tc>
          <w:tcPr>
            <w:tcW w:w="816" w:type="dxa"/>
            <w:hideMark/>
          </w:tcPr>
          <w:p w14:paraId="0E0C98D0" w14:textId="77777777" w:rsidR="005333E9" w:rsidRPr="001225DD" w:rsidRDefault="005333E9" w:rsidP="00AA2133">
            <w:pPr>
              <w:pStyle w:val="RepStandard"/>
              <w:spacing w:before="120" w:after="120"/>
            </w:pPr>
            <w:r w:rsidRPr="001225DD">
              <w:t> </w:t>
            </w:r>
          </w:p>
        </w:tc>
        <w:tc>
          <w:tcPr>
            <w:tcW w:w="718" w:type="dxa"/>
            <w:hideMark/>
          </w:tcPr>
          <w:p w14:paraId="144F158B" w14:textId="77777777" w:rsidR="005333E9" w:rsidRPr="001225DD" w:rsidRDefault="005333E9" w:rsidP="00AA2133">
            <w:pPr>
              <w:pStyle w:val="RepStandard"/>
              <w:spacing w:before="120" w:after="120"/>
            </w:pPr>
            <w:r w:rsidRPr="001225DD">
              <w:t> </w:t>
            </w:r>
          </w:p>
        </w:tc>
        <w:tc>
          <w:tcPr>
            <w:tcW w:w="768" w:type="dxa"/>
            <w:hideMark/>
          </w:tcPr>
          <w:p w14:paraId="38FA2EE4" w14:textId="77777777" w:rsidR="005333E9" w:rsidRPr="001225DD" w:rsidRDefault="005333E9" w:rsidP="00AA2133">
            <w:pPr>
              <w:pStyle w:val="RepStandard"/>
              <w:spacing w:before="120" w:after="120"/>
            </w:pPr>
            <w:r w:rsidRPr="001225DD">
              <w:t> </w:t>
            </w:r>
          </w:p>
        </w:tc>
        <w:tc>
          <w:tcPr>
            <w:tcW w:w="767" w:type="dxa"/>
            <w:hideMark/>
          </w:tcPr>
          <w:p w14:paraId="70E5BFE9" w14:textId="77777777" w:rsidR="005333E9" w:rsidRPr="001225DD" w:rsidRDefault="005333E9" w:rsidP="00AA2133">
            <w:pPr>
              <w:pStyle w:val="RepStandard"/>
              <w:spacing w:before="120" w:after="120"/>
            </w:pPr>
            <w:r w:rsidRPr="001225DD">
              <w:t> </w:t>
            </w:r>
          </w:p>
        </w:tc>
        <w:tc>
          <w:tcPr>
            <w:tcW w:w="767" w:type="dxa"/>
            <w:hideMark/>
          </w:tcPr>
          <w:p w14:paraId="39003ABE" w14:textId="77777777" w:rsidR="005333E9" w:rsidRPr="001225DD" w:rsidRDefault="005333E9" w:rsidP="00AA2133">
            <w:pPr>
              <w:pStyle w:val="RepStandard"/>
              <w:spacing w:before="120" w:after="120"/>
            </w:pPr>
            <w:r w:rsidRPr="001225DD">
              <w:t> </w:t>
            </w:r>
          </w:p>
        </w:tc>
        <w:tc>
          <w:tcPr>
            <w:tcW w:w="768" w:type="dxa"/>
            <w:hideMark/>
          </w:tcPr>
          <w:p w14:paraId="58DA507B" w14:textId="77777777" w:rsidR="005333E9" w:rsidRPr="001225DD" w:rsidRDefault="005333E9" w:rsidP="00AA2133">
            <w:pPr>
              <w:pStyle w:val="RepStandard"/>
              <w:spacing w:before="120" w:after="120"/>
            </w:pPr>
            <w:r w:rsidRPr="001225DD">
              <w:t> </w:t>
            </w:r>
          </w:p>
        </w:tc>
        <w:tc>
          <w:tcPr>
            <w:tcW w:w="767" w:type="dxa"/>
            <w:hideMark/>
          </w:tcPr>
          <w:p w14:paraId="4A4E6722" w14:textId="77777777" w:rsidR="005333E9" w:rsidRPr="001225DD" w:rsidRDefault="005333E9" w:rsidP="00AA2133">
            <w:pPr>
              <w:pStyle w:val="RepStandard"/>
              <w:spacing w:before="120" w:after="120"/>
            </w:pPr>
            <w:r w:rsidRPr="001225DD">
              <w:t> </w:t>
            </w:r>
          </w:p>
        </w:tc>
        <w:tc>
          <w:tcPr>
            <w:tcW w:w="767" w:type="dxa"/>
            <w:hideMark/>
          </w:tcPr>
          <w:p w14:paraId="3CD76522" w14:textId="77777777" w:rsidR="005333E9" w:rsidRPr="001225DD" w:rsidRDefault="005333E9" w:rsidP="00AA2133">
            <w:pPr>
              <w:pStyle w:val="RepStandard"/>
              <w:spacing w:before="120" w:after="120"/>
            </w:pPr>
            <w:r w:rsidRPr="001225DD">
              <w:t> </w:t>
            </w:r>
          </w:p>
        </w:tc>
        <w:tc>
          <w:tcPr>
            <w:tcW w:w="768" w:type="dxa"/>
            <w:hideMark/>
          </w:tcPr>
          <w:p w14:paraId="2E4FA4C4" w14:textId="77777777" w:rsidR="005333E9" w:rsidRPr="001225DD" w:rsidRDefault="005333E9" w:rsidP="00AA2133">
            <w:pPr>
              <w:pStyle w:val="RepStandard"/>
              <w:spacing w:before="120" w:after="120"/>
            </w:pPr>
            <w:r w:rsidRPr="001225DD">
              <w:t> </w:t>
            </w:r>
          </w:p>
        </w:tc>
      </w:tr>
      <w:tr w:rsidR="005333E9" w:rsidRPr="001225DD" w14:paraId="316B9698" w14:textId="77777777" w:rsidTr="000A4436">
        <w:trPr>
          <w:trHeight w:val="375"/>
        </w:trPr>
        <w:tc>
          <w:tcPr>
            <w:tcW w:w="988" w:type="dxa"/>
            <w:hideMark/>
          </w:tcPr>
          <w:p w14:paraId="402C8B0D" w14:textId="77777777" w:rsidR="005333E9" w:rsidRPr="001E5BD6" w:rsidRDefault="005333E9" w:rsidP="00AA2133">
            <w:pPr>
              <w:pStyle w:val="RepStandard"/>
              <w:spacing w:before="120" w:after="120"/>
              <w:rPr>
                <w:b/>
              </w:rPr>
            </w:pPr>
            <w:r w:rsidRPr="001E5BD6">
              <w:rPr>
                <w:b/>
              </w:rPr>
              <w:t>50%</w:t>
            </w:r>
          </w:p>
        </w:tc>
        <w:tc>
          <w:tcPr>
            <w:tcW w:w="1168" w:type="dxa"/>
            <w:hideMark/>
          </w:tcPr>
          <w:p w14:paraId="07DF47D2" w14:textId="77777777" w:rsidR="005333E9" w:rsidRPr="001E5BD6" w:rsidRDefault="005333E9" w:rsidP="00AA2133">
            <w:pPr>
              <w:pStyle w:val="RepStandard"/>
              <w:spacing w:before="120" w:after="120"/>
              <w:rPr>
                <w:b/>
              </w:rPr>
            </w:pPr>
            <w:r w:rsidRPr="001E5BD6">
              <w:rPr>
                <w:b/>
              </w:rPr>
              <w:t> </w:t>
            </w:r>
          </w:p>
        </w:tc>
        <w:tc>
          <w:tcPr>
            <w:tcW w:w="816" w:type="dxa"/>
            <w:hideMark/>
          </w:tcPr>
          <w:p w14:paraId="1BD2EB74" w14:textId="77777777" w:rsidR="005333E9" w:rsidRPr="001225DD" w:rsidRDefault="005333E9" w:rsidP="00AA2133">
            <w:pPr>
              <w:pStyle w:val="RepStandard"/>
              <w:spacing w:before="120" w:after="120"/>
            </w:pPr>
            <w:r w:rsidRPr="001225DD">
              <w:t> </w:t>
            </w:r>
          </w:p>
        </w:tc>
        <w:tc>
          <w:tcPr>
            <w:tcW w:w="718" w:type="dxa"/>
            <w:hideMark/>
          </w:tcPr>
          <w:p w14:paraId="059F8268" w14:textId="77777777" w:rsidR="005333E9" w:rsidRPr="001225DD" w:rsidRDefault="005333E9" w:rsidP="00AA2133">
            <w:pPr>
              <w:pStyle w:val="RepStandard"/>
              <w:spacing w:before="120" w:after="120"/>
            </w:pPr>
            <w:r w:rsidRPr="001225DD">
              <w:t> </w:t>
            </w:r>
          </w:p>
        </w:tc>
        <w:tc>
          <w:tcPr>
            <w:tcW w:w="768" w:type="dxa"/>
            <w:hideMark/>
          </w:tcPr>
          <w:p w14:paraId="535A8B46" w14:textId="77777777" w:rsidR="005333E9" w:rsidRPr="001225DD" w:rsidRDefault="005333E9" w:rsidP="00AA2133">
            <w:pPr>
              <w:pStyle w:val="RepStandard"/>
              <w:spacing w:before="120" w:after="120"/>
            </w:pPr>
            <w:r w:rsidRPr="001225DD">
              <w:t> </w:t>
            </w:r>
          </w:p>
        </w:tc>
        <w:tc>
          <w:tcPr>
            <w:tcW w:w="767" w:type="dxa"/>
            <w:hideMark/>
          </w:tcPr>
          <w:p w14:paraId="539DDECF" w14:textId="77777777" w:rsidR="005333E9" w:rsidRPr="001225DD" w:rsidRDefault="005333E9" w:rsidP="00AA2133">
            <w:pPr>
              <w:pStyle w:val="RepStandard"/>
              <w:spacing w:before="120" w:after="120"/>
            </w:pPr>
            <w:r w:rsidRPr="001225DD">
              <w:t> </w:t>
            </w:r>
          </w:p>
        </w:tc>
        <w:tc>
          <w:tcPr>
            <w:tcW w:w="767" w:type="dxa"/>
            <w:hideMark/>
          </w:tcPr>
          <w:p w14:paraId="6A7997FE" w14:textId="77777777" w:rsidR="005333E9" w:rsidRPr="001225DD" w:rsidRDefault="005333E9" w:rsidP="00AA2133">
            <w:pPr>
              <w:pStyle w:val="RepStandard"/>
              <w:spacing w:before="120" w:after="120"/>
            </w:pPr>
            <w:r w:rsidRPr="001225DD">
              <w:t> </w:t>
            </w:r>
          </w:p>
        </w:tc>
        <w:tc>
          <w:tcPr>
            <w:tcW w:w="768" w:type="dxa"/>
            <w:hideMark/>
          </w:tcPr>
          <w:p w14:paraId="55C8E196" w14:textId="77777777" w:rsidR="005333E9" w:rsidRPr="001225DD" w:rsidRDefault="005333E9" w:rsidP="00AA2133">
            <w:pPr>
              <w:pStyle w:val="RepStandard"/>
              <w:spacing w:before="120" w:after="120"/>
            </w:pPr>
            <w:r w:rsidRPr="001225DD">
              <w:t> </w:t>
            </w:r>
          </w:p>
        </w:tc>
        <w:tc>
          <w:tcPr>
            <w:tcW w:w="767" w:type="dxa"/>
            <w:hideMark/>
          </w:tcPr>
          <w:p w14:paraId="16830A11" w14:textId="77777777" w:rsidR="005333E9" w:rsidRPr="001225DD" w:rsidRDefault="005333E9" w:rsidP="00AA2133">
            <w:pPr>
              <w:pStyle w:val="RepStandard"/>
              <w:spacing w:before="120" w:after="120"/>
            </w:pPr>
            <w:r w:rsidRPr="001225DD">
              <w:t> </w:t>
            </w:r>
          </w:p>
        </w:tc>
        <w:tc>
          <w:tcPr>
            <w:tcW w:w="767" w:type="dxa"/>
            <w:hideMark/>
          </w:tcPr>
          <w:p w14:paraId="3C25E819" w14:textId="77777777" w:rsidR="005333E9" w:rsidRPr="001225DD" w:rsidRDefault="005333E9" w:rsidP="00AA2133">
            <w:pPr>
              <w:pStyle w:val="RepStandard"/>
              <w:spacing w:before="120" w:after="120"/>
            </w:pPr>
            <w:r w:rsidRPr="001225DD">
              <w:t> </w:t>
            </w:r>
          </w:p>
        </w:tc>
        <w:tc>
          <w:tcPr>
            <w:tcW w:w="768" w:type="dxa"/>
            <w:hideMark/>
          </w:tcPr>
          <w:p w14:paraId="1545CA39" w14:textId="77777777" w:rsidR="005333E9" w:rsidRPr="001225DD" w:rsidRDefault="005333E9" w:rsidP="00AA2133">
            <w:pPr>
              <w:pStyle w:val="RepStandard"/>
              <w:spacing w:before="120" w:after="120"/>
            </w:pPr>
            <w:r w:rsidRPr="001225DD">
              <w:t> </w:t>
            </w:r>
          </w:p>
        </w:tc>
      </w:tr>
      <w:tr w:rsidR="005333E9" w:rsidRPr="001225DD" w14:paraId="6B606267" w14:textId="77777777" w:rsidTr="000A4436">
        <w:trPr>
          <w:trHeight w:val="375"/>
        </w:trPr>
        <w:tc>
          <w:tcPr>
            <w:tcW w:w="988" w:type="dxa"/>
            <w:hideMark/>
          </w:tcPr>
          <w:p w14:paraId="077D0D4E" w14:textId="77777777" w:rsidR="005333E9" w:rsidRPr="001E5BD6" w:rsidRDefault="005333E9" w:rsidP="00AA2133">
            <w:pPr>
              <w:pStyle w:val="RepStandard"/>
              <w:spacing w:before="120" w:after="120"/>
              <w:rPr>
                <w:b/>
              </w:rPr>
            </w:pPr>
            <w:r w:rsidRPr="001E5BD6">
              <w:rPr>
                <w:b/>
              </w:rPr>
              <w:t>75%</w:t>
            </w:r>
          </w:p>
        </w:tc>
        <w:tc>
          <w:tcPr>
            <w:tcW w:w="1168" w:type="dxa"/>
            <w:hideMark/>
          </w:tcPr>
          <w:p w14:paraId="637412C5" w14:textId="77777777" w:rsidR="005333E9" w:rsidRPr="001E5BD6" w:rsidRDefault="005333E9" w:rsidP="00AA2133">
            <w:pPr>
              <w:pStyle w:val="RepStandard"/>
              <w:spacing w:before="120" w:after="120"/>
              <w:rPr>
                <w:b/>
              </w:rPr>
            </w:pPr>
            <w:r w:rsidRPr="001E5BD6">
              <w:rPr>
                <w:b/>
              </w:rPr>
              <w:t> </w:t>
            </w:r>
          </w:p>
        </w:tc>
        <w:tc>
          <w:tcPr>
            <w:tcW w:w="816" w:type="dxa"/>
            <w:hideMark/>
          </w:tcPr>
          <w:p w14:paraId="7700FA90" w14:textId="77777777" w:rsidR="005333E9" w:rsidRPr="001225DD" w:rsidRDefault="005333E9" w:rsidP="00AA2133">
            <w:pPr>
              <w:pStyle w:val="RepStandard"/>
              <w:spacing w:before="120" w:after="120"/>
            </w:pPr>
            <w:r w:rsidRPr="001225DD">
              <w:t> </w:t>
            </w:r>
          </w:p>
        </w:tc>
        <w:tc>
          <w:tcPr>
            <w:tcW w:w="718" w:type="dxa"/>
            <w:hideMark/>
          </w:tcPr>
          <w:p w14:paraId="7B994ED6" w14:textId="77777777" w:rsidR="005333E9" w:rsidRPr="001225DD" w:rsidRDefault="005333E9" w:rsidP="00AA2133">
            <w:pPr>
              <w:pStyle w:val="RepStandard"/>
              <w:spacing w:before="120" w:after="120"/>
            </w:pPr>
            <w:r w:rsidRPr="001225DD">
              <w:t> </w:t>
            </w:r>
          </w:p>
        </w:tc>
        <w:tc>
          <w:tcPr>
            <w:tcW w:w="768" w:type="dxa"/>
            <w:hideMark/>
          </w:tcPr>
          <w:p w14:paraId="43725091" w14:textId="77777777" w:rsidR="005333E9" w:rsidRPr="001225DD" w:rsidRDefault="005333E9" w:rsidP="00AA2133">
            <w:pPr>
              <w:pStyle w:val="RepStandard"/>
              <w:spacing w:before="120" w:after="120"/>
            </w:pPr>
            <w:r w:rsidRPr="001225DD">
              <w:t> </w:t>
            </w:r>
          </w:p>
        </w:tc>
        <w:tc>
          <w:tcPr>
            <w:tcW w:w="767" w:type="dxa"/>
            <w:hideMark/>
          </w:tcPr>
          <w:p w14:paraId="1389A903" w14:textId="77777777" w:rsidR="005333E9" w:rsidRPr="001225DD" w:rsidRDefault="005333E9" w:rsidP="00AA2133">
            <w:pPr>
              <w:pStyle w:val="RepStandard"/>
              <w:spacing w:before="120" w:after="120"/>
            </w:pPr>
            <w:r w:rsidRPr="001225DD">
              <w:t> </w:t>
            </w:r>
          </w:p>
        </w:tc>
        <w:tc>
          <w:tcPr>
            <w:tcW w:w="767" w:type="dxa"/>
            <w:hideMark/>
          </w:tcPr>
          <w:p w14:paraId="2325A5DE" w14:textId="77777777" w:rsidR="005333E9" w:rsidRPr="001225DD" w:rsidRDefault="005333E9" w:rsidP="00AA2133">
            <w:pPr>
              <w:pStyle w:val="RepStandard"/>
              <w:spacing w:before="120" w:after="120"/>
            </w:pPr>
            <w:r w:rsidRPr="001225DD">
              <w:t> </w:t>
            </w:r>
          </w:p>
        </w:tc>
        <w:tc>
          <w:tcPr>
            <w:tcW w:w="768" w:type="dxa"/>
            <w:hideMark/>
          </w:tcPr>
          <w:p w14:paraId="7658FDF4" w14:textId="77777777" w:rsidR="005333E9" w:rsidRPr="001225DD" w:rsidRDefault="005333E9" w:rsidP="00AA2133">
            <w:pPr>
              <w:pStyle w:val="RepStandard"/>
              <w:spacing w:before="120" w:after="120"/>
            </w:pPr>
            <w:r w:rsidRPr="001225DD">
              <w:t> </w:t>
            </w:r>
          </w:p>
        </w:tc>
        <w:tc>
          <w:tcPr>
            <w:tcW w:w="767" w:type="dxa"/>
            <w:hideMark/>
          </w:tcPr>
          <w:p w14:paraId="4F135E58" w14:textId="77777777" w:rsidR="005333E9" w:rsidRPr="001225DD" w:rsidRDefault="005333E9" w:rsidP="00AA2133">
            <w:pPr>
              <w:pStyle w:val="RepStandard"/>
              <w:spacing w:before="120" w:after="120"/>
            </w:pPr>
            <w:r w:rsidRPr="001225DD">
              <w:t> </w:t>
            </w:r>
          </w:p>
        </w:tc>
        <w:tc>
          <w:tcPr>
            <w:tcW w:w="767" w:type="dxa"/>
            <w:hideMark/>
          </w:tcPr>
          <w:p w14:paraId="3517349B" w14:textId="77777777" w:rsidR="005333E9" w:rsidRPr="001225DD" w:rsidRDefault="005333E9" w:rsidP="00AA2133">
            <w:pPr>
              <w:pStyle w:val="RepStandard"/>
              <w:spacing w:before="120" w:after="120"/>
            </w:pPr>
            <w:r w:rsidRPr="001225DD">
              <w:t> </w:t>
            </w:r>
          </w:p>
        </w:tc>
        <w:tc>
          <w:tcPr>
            <w:tcW w:w="768" w:type="dxa"/>
            <w:hideMark/>
          </w:tcPr>
          <w:p w14:paraId="5649E198" w14:textId="77777777" w:rsidR="005333E9" w:rsidRPr="001225DD" w:rsidRDefault="005333E9" w:rsidP="00AA2133">
            <w:pPr>
              <w:pStyle w:val="RepStandard"/>
              <w:spacing w:before="120" w:after="120"/>
            </w:pPr>
            <w:r w:rsidRPr="001225DD">
              <w:t> </w:t>
            </w:r>
          </w:p>
        </w:tc>
      </w:tr>
      <w:tr w:rsidR="005333E9" w:rsidRPr="001225DD" w14:paraId="618AE7B6" w14:textId="77777777" w:rsidTr="000A4436">
        <w:trPr>
          <w:trHeight w:val="375"/>
        </w:trPr>
        <w:tc>
          <w:tcPr>
            <w:tcW w:w="988" w:type="dxa"/>
            <w:hideMark/>
          </w:tcPr>
          <w:p w14:paraId="6BABEF9E" w14:textId="77777777" w:rsidR="005333E9" w:rsidRPr="001E5BD6" w:rsidRDefault="005333E9" w:rsidP="00AA2133">
            <w:pPr>
              <w:pStyle w:val="RepStandard"/>
              <w:spacing w:before="120" w:after="120"/>
              <w:rPr>
                <w:b/>
              </w:rPr>
            </w:pPr>
            <w:r w:rsidRPr="001E5BD6">
              <w:rPr>
                <w:b/>
              </w:rPr>
              <w:t>90%</w:t>
            </w:r>
          </w:p>
        </w:tc>
        <w:tc>
          <w:tcPr>
            <w:tcW w:w="1168" w:type="dxa"/>
            <w:hideMark/>
          </w:tcPr>
          <w:p w14:paraId="3E14774F" w14:textId="77777777" w:rsidR="005333E9" w:rsidRPr="001E5BD6" w:rsidRDefault="005333E9" w:rsidP="00AA2133">
            <w:pPr>
              <w:pStyle w:val="RepStandard"/>
              <w:spacing w:before="120" w:after="120"/>
              <w:rPr>
                <w:b/>
              </w:rPr>
            </w:pPr>
            <w:r w:rsidRPr="001E5BD6">
              <w:rPr>
                <w:b/>
              </w:rPr>
              <w:t> </w:t>
            </w:r>
          </w:p>
        </w:tc>
        <w:tc>
          <w:tcPr>
            <w:tcW w:w="816" w:type="dxa"/>
            <w:hideMark/>
          </w:tcPr>
          <w:p w14:paraId="3231F5BB" w14:textId="77777777" w:rsidR="005333E9" w:rsidRPr="001225DD" w:rsidRDefault="005333E9" w:rsidP="00AA2133">
            <w:pPr>
              <w:pStyle w:val="RepStandard"/>
              <w:spacing w:before="120" w:after="120"/>
            </w:pPr>
            <w:r w:rsidRPr="001225DD">
              <w:t> </w:t>
            </w:r>
          </w:p>
        </w:tc>
        <w:tc>
          <w:tcPr>
            <w:tcW w:w="718" w:type="dxa"/>
            <w:hideMark/>
          </w:tcPr>
          <w:p w14:paraId="41ACCD37" w14:textId="77777777" w:rsidR="005333E9" w:rsidRPr="001225DD" w:rsidRDefault="005333E9" w:rsidP="00AA2133">
            <w:pPr>
              <w:pStyle w:val="RepStandard"/>
              <w:spacing w:before="120" w:after="120"/>
            </w:pPr>
            <w:r w:rsidRPr="001225DD">
              <w:t> </w:t>
            </w:r>
          </w:p>
        </w:tc>
        <w:tc>
          <w:tcPr>
            <w:tcW w:w="768" w:type="dxa"/>
            <w:hideMark/>
          </w:tcPr>
          <w:p w14:paraId="1D499F5C" w14:textId="77777777" w:rsidR="005333E9" w:rsidRPr="001225DD" w:rsidRDefault="005333E9" w:rsidP="00AA2133">
            <w:pPr>
              <w:pStyle w:val="RepStandard"/>
              <w:spacing w:before="120" w:after="120"/>
            </w:pPr>
            <w:r w:rsidRPr="001225DD">
              <w:t> </w:t>
            </w:r>
          </w:p>
        </w:tc>
        <w:tc>
          <w:tcPr>
            <w:tcW w:w="767" w:type="dxa"/>
            <w:hideMark/>
          </w:tcPr>
          <w:p w14:paraId="2C7340E0" w14:textId="77777777" w:rsidR="005333E9" w:rsidRPr="001225DD" w:rsidRDefault="005333E9" w:rsidP="00AA2133">
            <w:pPr>
              <w:pStyle w:val="RepStandard"/>
              <w:spacing w:before="120" w:after="120"/>
            </w:pPr>
            <w:r w:rsidRPr="001225DD">
              <w:t> </w:t>
            </w:r>
          </w:p>
        </w:tc>
        <w:tc>
          <w:tcPr>
            <w:tcW w:w="767" w:type="dxa"/>
            <w:hideMark/>
          </w:tcPr>
          <w:p w14:paraId="5C8C8A8B" w14:textId="77777777" w:rsidR="005333E9" w:rsidRPr="001225DD" w:rsidRDefault="005333E9" w:rsidP="00AA2133">
            <w:pPr>
              <w:pStyle w:val="RepStandard"/>
              <w:spacing w:before="120" w:after="120"/>
            </w:pPr>
            <w:r w:rsidRPr="001225DD">
              <w:t> </w:t>
            </w:r>
          </w:p>
        </w:tc>
        <w:tc>
          <w:tcPr>
            <w:tcW w:w="768" w:type="dxa"/>
            <w:hideMark/>
          </w:tcPr>
          <w:p w14:paraId="16ABE70B" w14:textId="77777777" w:rsidR="005333E9" w:rsidRPr="001225DD" w:rsidRDefault="005333E9" w:rsidP="00AA2133">
            <w:pPr>
              <w:pStyle w:val="RepStandard"/>
              <w:spacing w:before="120" w:after="120"/>
            </w:pPr>
            <w:r w:rsidRPr="001225DD">
              <w:t> </w:t>
            </w:r>
          </w:p>
        </w:tc>
        <w:tc>
          <w:tcPr>
            <w:tcW w:w="767" w:type="dxa"/>
            <w:hideMark/>
          </w:tcPr>
          <w:p w14:paraId="5BCB3DBA" w14:textId="77777777" w:rsidR="005333E9" w:rsidRPr="001225DD" w:rsidRDefault="005333E9" w:rsidP="00AA2133">
            <w:pPr>
              <w:pStyle w:val="RepStandard"/>
              <w:spacing w:before="120" w:after="120"/>
            </w:pPr>
            <w:r w:rsidRPr="001225DD">
              <w:t> </w:t>
            </w:r>
          </w:p>
        </w:tc>
        <w:tc>
          <w:tcPr>
            <w:tcW w:w="767" w:type="dxa"/>
            <w:hideMark/>
          </w:tcPr>
          <w:p w14:paraId="1F0BF345" w14:textId="77777777" w:rsidR="005333E9" w:rsidRPr="001225DD" w:rsidRDefault="005333E9" w:rsidP="00AA2133">
            <w:pPr>
              <w:pStyle w:val="RepStandard"/>
              <w:spacing w:before="120" w:after="120"/>
            </w:pPr>
            <w:r w:rsidRPr="001225DD">
              <w:t> </w:t>
            </w:r>
          </w:p>
        </w:tc>
        <w:tc>
          <w:tcPr>
            <w:tcW w:w="768" w:type="dxa"/>
            <w:hideMark/>
          </w:tcPr>
          <w:p w14:paraId="28806AB8" w14:textId="77777777" w:rsidR="005333E9" w:rsidRPr="001225DD" w:rsidRDefault="005333E9" w:rsidP="00AA2133">
            <w:pPr>
              <w:pStyle w:val="RepStandard"/>
              <w:spacing w:before="120" w:after="120"/>
            </w:pPr>
            <w:r w:rsidRPr="001225DD">
              <w:t> </w:t>
            </w:r>
          </w:p>
        </w:tc>
      </w:tr>
      <w:tr w:rsidR="005333E9" w:rsidRPr="001225DD" w14:paraId="1A4228DF" w14:textId="77777777" w:rsidTr="000A4436">
        <w:trPr>
          <w:trHeight w:val="375"/>
        </w:trPr>
        <w:tc>
          <w:tcPr>
            <w:tcW w:w="988" w:type="dxa"/>
            <w:hideMark/>
          </w:tcPr>
          <w:p w14:paraId="28E82D46" w14:textId="77777777" w:rsidR="005333E9" w:rsidRPr="001E5BD6" w:rsidRDefault="005333E9" w:rsidP="00AA2133">
            <w:pPr>
              <w:pStyle w:val="RepStandard"/>
              <w:spacing w:before="120" w:after="120"/>
              <w:rPr>
                <w:b/>
              </w:rPr>
            </w:pPr>
            <w:r w:rsidRPr="001E5BD6">
              <w:rPr>
                <w:b/>
              </w:rPr>
              <w:t>None</w:t>
            </w:r>
          </w:p>
        </w:tc>
        <w:tc>
          <w:tcPr>
            <w:tcW w:w="1168" w:type="dxa"/>
            <w:hideMark/>
          </w:tcPr>
          <w:p w14:paraId="6E1DAF71" w14:textId="77777777" w:rsidR="005333E9" w:rsidRPr="001E5BD6" w:rsidRDefault="005333E9" w:rsidP="00AA2133">
            <w:pPr>
              <w:pStyle w:val="RepStandard"/>
              <w:spacing w:before="120" w:after="120"/>
              <w:rPr>
                <w:b/>
              </w:rPr>
            </w:pPr>
            <w:r w:rsidRPr="001E5BD6">
              <w:rPr>
                <w:b/>
              </w:rPr>
              <w:t>D4 Stream</w:t>
            </w:r>
          </w:p>
        </w:tc>
        <w:tc>
          <w:tcPr>
            <w:tcW w:w="816" w:type="dxa"/>
            <w:hideMark/>
          </w:tcPr>
          <w:p w14:paraId="03E07A2A" w14:textId="77777777" w:rsidR="005333E9" w:rsidRPr="001225DD" w:rsidRDefault="005333E9" w:rsidP="00AA2133">
            <w:pPr>
              <w:pStyle w:val="RepStandard"/>
              <w:spacing w:before="120" w:after="120"/>
            </w:pPr>
            <w:r w:rsidRPr="001225DD">
              <w:t> </w:t>
            </w:r>
          </w:p>
        </w:tc>
        <w:tc>
          <w:tcPr>
            <w:tcW w:w="718" w:type="dxa"/>
            <w:hideMark/>
          </w:tcPr>
          <w:p w14:paraId="55BB5754" w14:textId="77777777" w:rsidR="005333E9" w:rsidRPr="001225DD" w:rsidRDefault="005333E9" w:rsidP="00AA2133">
            <w:pPr>
              <w:pStyle w:val="RepStandard"/>
              <w:spacing w:before="120" w:after="120"/>
            </w:pPr>
            <w:r w:rsidRPr="001225DD">
              <w:t> </w:t>
            </w:r>
          </w:p>
        </w:tc>
        <w:tc>
          <w:tcPr>
            <w:tcW w:w="768" w:type="dxa"/>
            <w:hideMark/>
          </w:tcPr>
          <w:p w14:paraId="0F120297" w14:textId="77777777" w:rsidR="005333E9" w:rsidRPr="001225DD" w:rsidRDefault="005333E9" w:rsidP="00AA2133">
            <w:pPr>
              <w:pStyle w:val="RepStandard"/>
              <w:spacing w:before="120" w:after="120"/>
            </w:pPr>
            <w:r w:rsidRPr="001225DD">
              <w:t> </w:t>
            </w:r>
          </w:p>
        </w:tc>
        <w:tc>
          <w:tcPr>
            <w:tcW w:w="767" w:type="dxa"/>
            <w:hideMark/>
          </w:tcPr>
          <w:p w14:paraId="40FA22DD" w14:textId="77777777" w:rsidR="005333E9" w:rsidRPr="001225DD" w:rsidRDefault="005333E9" w:rsidP="00AA2133">
            <w:pPr>
              <w:pStyle w:val="RepStandard"/>
              <w:spacing w:before="120" w:after="120"/>
            </w:pPr>
            <w:r w:rsidRPr="001225DD">
              <w:t> </w:t>
            </w:r>
          </w:p>
        </w:tc>
        <w:tc>
          <w:tcPr>
            <w:tcW w:w="767" w:type="dxa"/>
            <w:hideMark/>
          </w:tcPr>
          <w:p w14:paraId="5718411D" w14:textId="77777777" w:rsidR="005333E9" w:rsidRPr="001225DD" w:rsidRDefault="005333E9" w:rsidP="00AA2133">
            <w:pPr>
              <w:pStyle w:val="RepStandard"/>
              <w:spacing w:before="120" w:after="120"/>
            </w:pPr>
            <w:r w:rsidRPr="001225DD">
              <w:t> </w:t>
            </w:r>
          </w:p>
        </w:tc>
        <w:tc>
          <w:tcPr>
            <w:tcW w:w="768" w:type="dxa"/>
            <w:hideMark/>
          </w:tcPr>
          <w:p w14:paraId="5886E4A7" w14:textId="77777777" w:rsidR="005333E9" w:rsidRPr="001225DD" w:rsidRDefault="005333E9" w:rsidP="00AA2133">
            <w:pPr>
              <w:pStyle w:val="RepStandard"/>
              <w:spacing w:before="120" w:after="120"/>
            </w:pPr>
            <w:r w:rsidRPr="001225DD">
              <w:t> </w:t>
            </w:r>
          </w:p>
        </w:tc>
        <w:tc>
          <w:tcPr>
            <w:tcW w:w="767" w:type="dxa"/>
            <w:hideMark/>
          </w:tcPr>
          <w:p w14:paraId="49FEC2D1" w14:textId="77777777" w:rsidR="005333E9" w:rsidRPr="001225DD" w:rsidRDefault="005333E9" w:rsidP="00AA2133">
            <w:pPr>
              <w:pStyle w:val="RepStandard"/>
              <w:spacing w:before="120" w:after="120"/>
            </w:pPr>
            <w:r w:rsidRPr="001225DD">
              <w:t> </w:t>
            </w:r>
          </w:p>
        </w:tc>
        <w:tc>
          <w:tcPr>
            <w:tcW w:w="767" w:type="dxa"/>
            <w:hideMark/>
          </w:tcPr>
          <w:p w14:paraId="4D84B832" w14:textId="77777777" w:rsidR="005333E9" w:rsidRPr="001225DD" w:rsidRDefault="005333E9" w:rsidP="00AA2133">
            <w:pPr>
              <w:pStyle w:val="RepStandard"/>
              <w:spacing w:before="120" w:after="120"/>
            </w:pPr>
            <w:r w:rsidRPr="001225DD">
              <w:t> </w:t>
            </w:r>
          </w:p>
        </w:tc>
        <w:tc>
          <w:tcPr>
            <w:tcW w:w="768" w:type="dxa"/>
            <w:hideMark/>
          </w:tcPr>
          <w:p w14:paraId="779B420F" w14:textId="77777777" w:rsidR="005333E9" w:rsidRPr="001225DD" w:rsidRDefault="005333E9" w:rsidP="00AA2133">
            <w:pPr>
              <w:pStyle w:val="RepStandard"/>
              <w:spacing w:before="120" w:after="120"/>
            </w:pPr>
            <w:r w:rsidRPr="001225DD">
              <w:t> </w:t>
            </w:r>
          </w:p>
        </w:tc>
      </w:tr>
      <w:tr w:rsidR="005333E9" w:rsidRPr="001225DD" w14:paraId="08935787" w14:textId="77777777" w:rsidTr="000A4436">
        <w:trPr>
          <w:trHeight w:val="375"/>
        </w:trPr>
        <w:tc>
          <w:tcPr>
            <w:tcW w:w="988" w:type="dxa"/>
            <w:hideMark/>
          </w:tcPr>
          <w:p w14:paraId="7726AA61" w14:textId="77777777" w:rsidR="005333E9" w:rsidRPr="001E5BD6" w:rsidRDefault="005333E9" w:rsidP="00AA2133">
            <w:pPr>
              <w:pStyle w:val="RepStandard"/>
              <w:spacing w:before="120" w:after="120"/>
              <w:rPr>
                <w:b/>
              </w:rPr>
            </w:pPr>
            <w:r w:rsidRPr="001E5BD6">
              <w:rPr>
                <w:b/>
              </w:rPr>
              <w:t>50%</w:t>
            </w:r>
          </w:p>
        </w:tc>
        <w:tc>
          <w:tcPr>
            <w:tcW w:w="1168" w:type="dxa"/>
            <w:hideMark/>
          </w:tcPr>
          <w:p w14:paraId="2163545C" w14:textId="77777777" w:rsidR="005333E9" w:rsidRPr="001E5BD6" w:rsidRDefault="005333E9" w:rsidP="00AA2133">
            <w:pPr>
              <w:pStyle w:val="RepStandard"/>
              <w:spacing w:before="120" w:after="120"/>
              <w:rPr>
                <w:b/>
              </w:rPr>
            </w:pPr>
            <w:r w:rsidRPr="001E5BD6">
              <w:rPr>
                <w:b/>
              </w:rPr>
              <w:t> </w:t>
            </w:r>
          </w:p>
        </w:tc>
        <w:tc>
          <w:tcPr>
            <w:tcW w:w="816" w:type="dxa"/>
            <w:hideMark/>
          </w:tcPr>
          <w:p w14:paraId="7AA8107B" w14:textId="77777777" w:rsidR="005333E9" w:rsidRPr="001225DD" w:rsidRDefault="005333E9" w:rsidP="00AA2133">
            <w:pPr>
              <w:pStyle w:val="RepStandard"/>
              <w:spacing w:before="120" w:after="120"/>
            </w:pPr>
            <w:r w:rsidRPr="001225DD">
              <w:t> </w:t>
            </w:r>
          </w:p>
        </w:tc>
        <w:tc>
          <w:tcPr>
            <w:tcW w:w="718" w:type="dxa"/>
            <w:hideMark/>
          </w:tcPr>
          <w:p w14:paraId="1C8D2E54" w14:textId="77777777" w:rsidR="005333E9" w:rsidRPr="001225DD" w:rsidRDefault="005333E9" w:rsidP="00AA2133">
            <w:pPr>
              <w:pStyle w:val="RepStandard"/>
              <w:spacing w:before="120" w:after="120"/>
            </w:pPr>
            <w:r w:rsidRPr="001225DD">
              <w:t> </w:t>
            </w:r>
          </w:p>
        </w:tc>
        <w:tc>
          <w:tcPr>
            <w:tcW w:w="768" w:type="dxa"/>
            <w:hideMark/>
          </w:tcPr>
          <w:p w14:paraId="6F3718DD" w14:textId="77777777" w:rsidR="005333E9" w:rsidRPr="001225DD" w:rsidRDefault="005333E9" w:rsidP="00AA2133">
            <w:pPr>
              <w:pStyle w:val="RepStandard"/>
              <w:spacing w:before="120" w:after="120"/>
            </w:pPr>
            <w:r w:rsidRPr="001225DD">
              <w:t> </w:t>
            </w:r>
          </w:p>
        </w:tc>
        <w:tc>
          <w:tcPr>
            <w:tcW w:w="767" w:type="dxa"/>
            <w:hideMark/>
          </w:tcPr>
          <w:p w14:paraId="2FC1DA03" w14:textId="77777777" w:rsidR="005333E9" w:rsidRPr="001225DD" w:rsidRDefault="005333E9" w:rsidP="00AA2133">
            <w:pPr>
              <w:pStyle w:val="RepStandard"/>
              <w:spacing w:before="120" w:after="120"/>
            </w:pPr>
            <w:r w:rsidRPr="001225DD">
              <w:t> </w:t>
            </w:r>
          </w:p>
        </w:tc>
        <w:tc>
          <w:tcPr>
            <w:tcW w:w="767" w:type="dxa"/>
            <w:hideMark/>
          </w:tcPr>
          <w:p w14:paraId="3AD56527" w14:textId="77777777" w:rsidR="005333E9" w:rsidRPr="001225DD" w:rsidRDefault="005333E9" w:rsidP="00AA2133">
            <w:pPr>
              <w:pStyle w:val="RepStandard"/>
              <w:spacing w:before="120" w:after="120"/>
            </w:pPr>
            <w:r w:rsidRPr="001225DD">
              <w:t> </w:t>
            </w:r>
          </w:p>
        </w:tc>
        <w:tc>
          <w:tcPr>
            <w:tcW w:w="768" w:type="dxa"/>
            <w:hideMark/>
          </w:tcPr>
          <w:p w14:paraId="27966E9F" w14:textId="77777777" w:rsidR="005333E9" w:rsidRPr="001225DD" w:rsidRDefault="005333E9" w:rsidP="00AA2133">
            <w:pPr>
              <w:pStyle w:val="RepStandard"/>
              <w:spacing w:before="120" w:after="120"/>
            </w:pPr>
            <w:r w:rsidRPr="001225DD">
              <w:t> </w:t>
            </w:r>
          </w:p>
        </w:tc>
        <w:tc>
          <w:tcPr>
            <w:tcW w:w="767" w:type="dxa"/>
            <w:hideMark/>
          </w:tcPr>
          <w:p w14:paraId="511EA15A" w14:textId="77777777" w:rsidR="005333E9" w:rsidRPr="001225DD" w:rsidRDefault="005333E9" w:rsidP="00AA2133">
            <w:pPr>
              <w:pStyle w:val="RepStandard"/>
              <w:spacing w:before="120" w:after="120"/>
            </w:pPr>
            <w:r w:rsidRPr="001225DD">
              <w:t> </w:t>
            </w:r>
          </w:p>
        </w:tc>
        <w:tc>
          <w:tcPr>
            <w:tcW w:w="767" w:type="dxa"/>
            <w:hideMark/>
          </w:tcPr>
          <w:p w14:paraId="1F20E080" w14:textId="77777777" w:rsidR="005333E9" w:rsidRPr="001225DD" w:rsidRDefault="005333E9" w:rsidP="00AA2133">
            <w:pPr>
              <w:pStyle w:val="RepStandard"/>
              <w:spacing w:before="120" w:after="120"/>
            </w:pPr>
            <w:r w:rsidRPr="001225DD">
              <w:t> </w:t>
            </w:r>
          </w:p>
        </w:tc>
        <w:tc>
          <w:tcPr>
            <w:tcW w:w="768" w:type="dxa"/>
            <w:hideMark/>
          </w:tcPr>
          <w:p w14:paraId="4B514A11" w14:textId="77777777" w:rsidR="005333E9" w:rsidRPr="001225DD" w:rsidRDefault="005333E9" w:rsidP="00AA2133">
            <w:pPr>
              <w:pStyle w:val="RepStandard"/>
              <w:spacing w:before="120" w:after="120"/>
            </w:pPr>
            <w:r w:rsidRPr="001225DD">
              <w:t> </w:t>
            </w:r>
          </w:p>
        </w:tc>
      </w:tr>
      <w:tr w:rsidR="005333E9" w:rsidRPr="001225DD" w14:paraId="0BF8A779" w14:textId="77777777" w:rsidTr="000A4436">
        <w:trPr>
          <w:trHeight w:val="375"/>
        </w:trPr>
        <w:tc>
          <w:tcPr>
            <w:tcW w:w="988" w:type="dxa"/>
            <w:hideMark/>
          </w:tcPr>
          <w:p w14:paraId="1791985B" w14:textId="77777777" w:rsidR="005333E9" w:rsidRPr="001E5BD6" w:rsidRDefault="005333E9" w:rsidP="00AA2133">
            <w:pPr>
              <w:pStyle w:val="RepStandard"/>
              <w:spacing w:before="120" w:after="120"/>
              <w:rPr>
                <w:b/>
              </w:rPr>
            </w:pPr>
            <w:r w:rsidRPr="001E5BD6">
              <w:rPr>
                <w:b/>
              </w:rPr>
              <w:t>75%</w:t>
            </w:r>
          </w:p>
        </w:tc>
        <w:tc>
          <w:tcPr>
            <w:tcW w:w="1168" w:type="dxa"/>
            <w:hideMark/>
          </w:tcPr>
          <w:p w14:paraId="478EAB62" w14:textId="77777777" w:rsidR="005333E9" w:rsidRPr="001E5BD6" w:rsidRDefault="005333E9" w:rsidP="00AA2133">
            <w:pPr>
              <w:pStyle w:val="RepStandard"/>
              <w:spacing w:before="120" w:after="120"/>
              <w:rPr>
                <w:b/>
              </w:rPr>
            </w:pPr>
            <w:r w:rsidRPr="001E5BD6">
              <w:rPr>
                <w:b/>
              </w:rPr>
              <w:t> </w:t>
            </w:r>
          </w:p>
        </w:tc>
        <w:tc>
          <w:tcPr>
            <w:tcW w:w="816" w:type="dxa"/>
            <w:hideMark/>
          </w:tcPr>
          <w:p w14:paraId="47519DA7" w14:textId="77777777" w:rsidR="005333E9" w:rsidRPr="001225DD" w:rsidRDefault="005333E9" w:rsidP="00AA2133">
            <w:pPr>
              <w:pStyle w:val="RepStandard"/>
              <w:spacing w:before="120" w:after="120"/>
            </w:pPr>
            <w:r w:rsidRPr="001225DD">
              <w:t> </w:t>
            </w:r>
          </w:p>
        </w:tc>
        <w:tc>
          <w:tcPr>
            <w:tcW w:w="718" w:type="dxa"/>
            <w:hideMark/>
          </w:tcPr>
          <w:p w14:paraId="2119DB59" w14:textId="77777777" w:rsidR="005333E9" w:rsidRPr="001225DD" w:rsidRDefault="005333E9" w:rsidP="00AA2133">
            <w:pPr>
              <w:pStyle w:val="RepStandard"/>
              <w:spacing w:before="120" w:after="120"/>
            </w:pPr>
            <w:r w:rsidRPr="001225DD">
              <w:t> </w:t>
            </w:r>
          </w:p>
        </w:tc>
        <w:tc>
          <w:tcPr>
            <w:tcW w:w="768" w:type="dxa"/>
            <w:hideMark/>
          </w:tcPr>
          <w:p w14:paraId="7800AA57" w14:textId="77777777" w:rsidR="005333E9" w:rsidRPr="001225DD" w:rsidRDefault="005333E9" w:rsidP="00AA2133">
            <w:pPr>
              <w:pStyle w:val="RepStandard"/>
              <w:spacing w:before="120" w:after="120"/>
            </w:pPr>
            <w:r w:rsidRPr="001225DD">
              <w:t> </w:t>
            </w:r>
          </w:p>
        </w:tc>
        <w:tc>
          <w:tcPr>
            <w:tcW w:w="767" w:type="dxa"/>
            <w:hideMark/>
          </w:tcPr>
          <w:p w14:paraId="4C93B09C" w14:textId="77777777" w:rsidR="005333E9" w:rsidRPr="001225DD" w:rsidRDefault="005333E9" w:rsidP="00AA2133">
            <w:pPr>
              <w:pStyle w:val="RepStandard"/>
              <w:spacing w:before="120" w:after="120"/>
            </w:pPr>
            <w:r w:rsidRPr="001225DD">
              <w:t> </w:t>
            </w:r>
          </w:p>
        </w:tc>
        <w:tc>
          <w:tcPr>
            <w:tcW w:w="767" w:type="dxa"/>
            <w:hideMark/>
          </w:tcPr>
          <w:p w14:paraId="58EB24D1" w14:textId="77777777" w:rsidR="005333E9" w:rsidRPr="001225DD" w:rsidRDefault="005333E9" w:rsidP="00AA2133">
            <w:pPr>
              <w:pStyle w:val="RepStandard"/>
              <w:spacing w:before="120" w:after="120"/>
            </w:pPr>
            <w:r w:rsidRPr="001225DD">
              <w:t> </w:t>
            </w:r>
          </w:p>
        </w:tc>
        <w:tc>
          <w:tcPr>
            <w:tcW w:w="768" w:type="dxa"/>
            <w:hideMark/>
          </w:tcPr>
          <w:p w14:paraId="4FF03F17" w14:textId="77777777" w:rsidR="005333E9" w:rsidRPr="001225DD" w:rsidRDefault="005333E9" w:rsidP="00AA2133">
            <w:pPr>
              <w:pStyle w:val="RepStandard"/>
              <w:spacing w:before="120" w:after="120"/>
            </w:pPr>
            <w:r w:rsidRPr="001225DD">
              <w:t> </w:t>
            </w:r>
          </w:p>
        </w:tc>
        <w:tc>
          <w:tcPr>
            <w:tcW w:w="767" w:type="dxa"/>
            <w:hideMark/>
          </w:tcPr>
          <w:p w14:paraId="4EB1350A" w14:textId="77777777" w:rsidR="005333E9" w:rsidRPr="001225DD" w:rsidRDefault="005333E9" w:rsidP="00AA2133">
            <w:pPr>
              <w:pStyle w:val="RepStandard"/>
              <w:spacing w:before="120" w:after="120"/>
            </w:pPr>
            <w:r w:rsidRPr="001225DD">
              <w:t> </w:t>
            </w:r>
          </w:p>
        </w:tc>
        <w:tc>
          <w:tcPr>
            <w:tcW w:w="767" w:type="dxa"/>
            <w:hideMark/>
          </w:tcPr>
          <w:p w14:paraId="7F4C98BF" w14:textId="77777777" w:rsidR="005333E9" w:rsidRPr="001225DD" w:rsidRDefault="005333E9" w:rsidP="00AA2133">
            <w:pPr>
              <w:pStyle w:val="RepStandard"/>
              <w:spacing w:before="120" w:after="120"/>
            </w:pPr>
            <w:r w:rsidRPr="001225DD">
              <w:t> </w:t>
            </w:r>
          </w:p>
        </w:tc>
        <w:tc>
          <w:tcPr>
            <w:tcW w:w="768" w:type="dxa"/>
            <w:hideMark/>
          </w:tcPr>
          <w:p w14:paraId="388CC89B" w14:textId="77777777" w:rsidR="005333E9" w:rsidRPr="001225DD" w:rsidRDefault="005333E9" w:rsidP="00AA2133">
            <w:pPr>
              <w:pStyle w:val="RepStandard"/>
              <w:spacing w:before="120" w:after="120"/>
            </w:pPr>
            <w:r w:rsidRPr="001225DD">
              <w:t> </w:t>
            </w:r>
          </w:p>
        </w:tc>
      </w:tr>
      <w:tr w:rsidR="005333E9" w:rsidRPr="001225DD" w14:paraId="7A05B78B" w14:textId="77777777" w:rsidTr="000A4436">
        <w:trPr>
          <w:trHeight w:val="375"/>
        </w:trPr>
        <w:tc>
          <w:tcPr>
            <w:tcW w:w="988" w:type="dxa"/>
            <w:hideMark/>
          </w:tcPr>
          <w:p w14:paraId="5D3D732B" w14:textId="77777777" w:rsidR="005333E9" w:rsidRPr="001E5BD6" w:rsidRDefault="005333E9" w:rsidP="00AA2133">
            <w:pPr>
              <w:pStyle w:val="RepStandard"/>
              <w:spacing w:before="120" w:after="120"/>
              <w:rPr>
                <w:b/>
              </w:rPr>
            </w:pPr>
            <w:r w:rsidRPr="001E5BD6">
              <w:rPr>
                <w:b/>
              </w:rPr>
              <w:t>90%</w:t>
            </w:r>
          </w:p>
        </w:tc>
        <w:tc>
          <w:tcPr>
            <w:tcW w:w="1168" w:type="dxa"/>
            <w:hideMark/>
          </w:tcPr>
          <w:p w14:paraId="19782AE4" w14:textId="77777777" w:rsidR="005333E9" w:rsidRPr="001E5BD6" w:rsidRDefault="005333E9" w:rsidP="00AA2133">
            <w:pPr>
              <w:pStyle w:val="RepStandard"/>
              <w:spacing w:before="120" w:after="120"/>
              <w:rPr>
                <w:b/>
              </w:rPr>
            </w:pPr>
            <w:r w:rsidRPr="001E5BD6">
              <w:rPr>
                <w:b/>
              </w:rPr>
              <w:t> </w:t>
            </w:r>
          </w:p>
        </w:tc>
        <w:tc>
          <w:tcPr>
            <w:tcW w:w="816" w:type="dxa"/>
            <w:hideMark/>
          </w:tcPr>
          <w:p w14:paraId="32122061" w14:textId="77777777" w:rsidR="005333E9" w:rsidRPr="001225DD" w:rsidRDefault="005333E9" w:rsidP="00AA2133">
            <w:pPr>
              <w:pStyle w:val="RepStandard"/>
              <w:spacing w:before="120" w:after="120"/>
            </w:pPr>
            <w:r w:rsidRPr="001225DD">
              <w:t> </w:t>
            </w:r>
          </w:p>
        </w:tc>
        <w:tc>
          <w:tcPr>
            <w:tcW w:w="718" w:type="dxa"/>
            <w:hideMark/>
          </w:tcPr>
          <w:p w14:paraId="7C7101E0" w14:textId="77777777" w:rsidR="005333E9" w:rsidRPr="001225DD" w:rsidRDefault="005333E9" w:rsidP="00AA2133">
            <w:pPr>
              <w:pStyle w:val="RepStandard"/>
              <w:spacing w:before="120" w:after="120"/>
            </w:pPr>
            <w:r w:rsidRPr="001225DD">
              <w:t> </w:t>
            </w:r>
          </w:p>
        </w:tc>
        <w:tc>
          <w:tcPr>
            <w:tcW w:w="768" w:type="dxa"/>
            <w:hideMark/>
          </w:tcPr>
          <w:p w14:paraId="1661EA02" w14:textId="77777777" w:rsidR="005333E9" w:rsidRPr="001225DD" w:rsidRDefault="005333E9" w:rsidP="00AA2133">
            <w:pPr>
              <w:pStyle w:val="RepStandard"/>
              <w:spacing w:before="120" w:after="120"/>
            </w:pPr>
            <w:r w:rsidRPr="001225DD">
              <w:t> </w:t>
            </w:r>
          </w:p>
        </w:tc>
        <w:tc>
          <w:tcPr>
            <w:tcW w:w="767" w:type="dxa"/>
            <w:hideMark/>
          </w:tcPr>
          <w:p w14:paraId="455B1D7A" w14:textId="77777777" w:rsidR="005333E9" w:rsidRPr="001225DD" w:rsidRDefault="005333E9" w:rsidP="00AA2133">
            <w:pPr>
              <w:pStyle w:val="RepStandard"/>
              <w:spacing w:before="120" w:after="120"/>
            </w:pPr>
            <w:r w:rsidRPr="001225DD">
              <w:t> </w:t>
            </w:r>
          </w:p>
        </w:tc>
        <w:tc>
          <w:tcPr>
            <w:tcW w:w="767" w:type="dxa"/>
            <w:hideMark/>
          </w:tcPr>
          <w:p w14:paraId="5386A77D" w14:textId="77777777" w:rsidR="005333E9" w:rsidRPr="001225DD" w:rsidRDefault="005333E9" w:rsidP="00AA2133">
            <w:pPr>
              <w:pStyle w:val="RepStandard"/>
              <w:spacing w:before="120" w:after="120"/>
            </w:pPr>
            <w:r w:rsidRPr="001225DD">
              <w:t> </w:t>
            </w:r>
          </w:p>
        </w:tc>
        <w:tc>
          <w:tcPr>
            <w:tcW w:w="768" w:type="dxa"/>
            <w:hideMark/>
          </w:tcPr>
          <w:p w14:paraId="6FD43BE7" w14:textId="77777777" w:rsidR="005333E9" w:rsidRPr="001225DD" w:rsidRDefault="005333E9" w:rsidP="00AA2133">
            <w:pPr>
              <w:pStyle w:val="RepStandard"/>
              <w:spacing w:before="120" w:after="120"/>
            </w:pPr>
            <w:r w:rsidRPr="001225DD">
              <w:t> </w:t>
            </w:r>
          </w:p>
        </w:tc>
        <w:tc>
          <w:tcPr>
            <w:tcW w:w="767" w:type="dxa"/>
            <w:hideMark/>
          </w:tcPr>
          <w:p w14:paraId="3C0AF06C" w14:textId="77777777" w:rsidR="005333E9" w:rsidRPr="001225DD" w:rsidRDefault="005333E9" w:rsidP="00AA2133">
            <w:pPr>
              <w:pStyle w:val="RepStandard"/>
              <w:spacing w:before="120" w:after="120"/>
            </w:pPr>
            <w:r w:rsidRPr="001225DD">
              <w:t> </w:t>
            </w:r>
          </w:p>
        </w:tc>
        <w:tc>
          <w:tcPr>
            <w:tcW w:w="767" w:type="dxa"/>
            <w:hideMark/>
          </w:tcPr>
          <w:p w14:paraId="0AB64178" w14:textId="77777777" w:rsidR="005333E9" w:rsidRPr="001225DD" w:rsidRDefault="005333E9" w:rsidP="00AA2133">
            <w:pPr>
              <w:pStyle w:val="RepStandard"/>
              <w:spacing w:before="120" w:after="120"/>
            </w:pPr>
            <w:r w:rsidRPr="001225DD">
              <w:t> </w:t>
            </w:r>
          </w:p>
        </w:tc>
        <w:tc>
          <w:tcPr>
            <w:tcW w:w="768" w:type="dxa"/>
            <w:hideMark/>
          </w:tcPr>
          <w:p w14:paraId="0CFA5118" w14:textId="77777777" w:rsidR="005333E9" w:rsidRPr="001225DD" w:rsidRDefault="005333E9" w:rsidP="00AA2133">
            <w:pPr>
              <w:pStyle w:val="RepStandard"/>
              <w:spacing w:before="120" w:after="120"/>
            </w:pPr>
            <w:r w:rsidRPr="001225DD">
              <w:t> </w:t>
            </w:r>
          </w:p>
        </w:tc>
      </w:tr>
      <w:tr w:rsidR="005333E9" w:rsidRPr="001225DD" w14:paraId="7F0AB445" w14:textId="77777777" w:rsidTr="000A4436">
        <w:trPr>
          <w:trHeight w:val="375"/>
        </w:trPr>
        <w:tc>
          <w:tcPr>
            <w:tcW w:w="988" w:type="dxa"/>
            <w:hideMark/>
          </w:tcPr>
          <w:p w14:paraId="485F47AE" w14:textId="77777777" w:rsidR="005333E9" w:rsidRPr="001E5BD6" w:rsidRDefault="005333E9" w:rsidP="00AA2133">
            <w:pPr>
              <w:pStyle w:val="RepStandard"/>
              <w:spacing w:before="120" w:after="120"/>
              <w:rPr>
                <w:b/>
              </w:rPr>
            </w:pPr>
            <w:r w:rsidRPr="001E5BD6">
              <w:rPr>
                <w:b/>
              </w:rPr>
              <w:t>None</w:t>
            </w:r>
          </w:p>
        </w:tc>
        <w:tc>
          <w:tcPr>
            <w:tcW w:w="1168" w:type="dxa"/>
            <w:hideMark/>
          </w:tcPr>
          <w:p w14:paraId="0A4DC58A" w14:textId="77777777" w:rsidR="005333E9" w:rsidRPr="001E5BD6" w:rsidRDefault="005333E9" w:rsidP="00AA2133">
            <w:pPr>
              <w:pStyle w:val="RepStandard"/>
              <w:spacing w:before="120" w:after="120"/>
              <w:rPr>
                <w:b/>
              </w:rPr>
            </w:pPr>
            <w:r w:rsidRPr="001E5BD6">
              <w:rPr>
                <w:b/>
              </w:rPr>
              <w:t>D5 pond</w:t>
            </w:r>
          </w:p>
        </w:tc>
        <w:tc>
          <w:tcPr>
            <w:tcW w:w="816" w:type="dxa"/>
            <w:hideMark/>
          </w:tcPr>
          <w:p w14:paraId="64A0051D" w14:textId="77777777" w:rsidR="005333E9" w:rsidRPr="001225DD" w:rsidRDefault="005333E9" w:rsidP="00AA2133">
            <w:pPr>
              <w:pStyle w:val="RepStandard"/>
              <w:spacing w:before="120" w:after="120"/>
            </w:pPr>
          </w:p>
        </w:tc>
        <w:tc>
          <w:tcPr>
            <w:tcW w:w="718" w:type="dxa"/>
            <w:hideMark/>
          </w:tcPr>
          <w:p w14:paraId="69F11C66" w14:textId="77777777" w:rsidR="005333E9" w:rsidRPr="001225DD" w:rsidRDefault="005333E9" w:rsidP="00AA2133">
            <w:pPr>
              <w:pStyle w:val="RepStandard"/>
              <w:spacing w:before="120" w:after="120"/>
            </w:pPr>
            <w:r w:rsidRPr="001225DD">
              <w:t> </w:t>
            </w:r>
          </w:p>
        </w:tc>
        <w:tc>
          <w:tcPr>
            <w:tcW w:w="768" w:type="dxa"/>
            <w:hideMark/>
          </w:tcPr>
          <w:p w14:paraId="61DB605A" w14:textId="77777777" w:rsidR="005333E9" w:rsidRPr="001225DD" w:rsidRDefault="005333E9" w:rsidP="00AA2133">
            <w:pPr>
              <w:pStyle w:val="RepStandard"/>
              <w:spacing w:before="120" w:after="120"/>
            </w:pPr>
            <w:r w:rsidRPr="001225DD">
              <w:t> </w:t>
            </w:r>
          </w:p>
        </w:tc>
        <w:tc>
          <w:tcPr>
            <w:tcW w:w="767" w:type="dxa"/>
            <w:hideMark/>
          </w:tcPr>
          <w:p w14:paraId="380C3ABB" w14:textId="77777777" w:rsidR="005333E9" w:rsidRPr="001225DD" w:rsidRDefault="005333E9" w:rsidP="00AA2133">
            <w:pPr>
              <w:pStyle w:val="RepStandard"/>
              <w:spacing w:before="120" w:after="120"/>
            </w:pPr>
            <w:r w:rsidRPr="001225DD">
              <w:t> </w:t>
            </w:r>
          </w:p>
        </w:tc>
        <w:tc>
          <w:tcPr>
            <w:tcW w:w="767" w:type="dxa"/>
            <w:hideMark/>
          </w:tcPr>
          <w:p w14:paraId="4835F033" w14:textId="77777777" w:rsidR="005333E9" w:rsidRPr="001225DD" w:rsidRDefault="005333E9" w:rsidP="00AA2133">
            <w:pPr>
              <w:pStyle w:val="RepStandard"/>
              <w:spacing w:before="120" w:after="120"/>
            </w:pPr>
            <w:r w:rsidRPr="001225DD">
              <w:t> </w:t>
            </w:r>
          </w:p>
        </w:tc>
        <w:tc>
          <w:tcPr>
            <w:tcW w:w="768" w:type="dxa"/>
            <w:hideMark/>
          </w:tcPr>
          <w:p w14:paraId="584CAD51" w14:textId="77777777" w:rsidR="005333E9" w:rsidRPr="001225DD" w:rsidRDefault="005333E9" w:rsidP="00AA2133">
            <w:pPr>
              <w:pStyle w:val="RepStandard"/>
              <w:spacing w:before="120" w:after="120"/>
            </w:pPr>
            <w:r w:rsidRPr="001225DD">
              <w:t> </w:t>
            </w:r>
          </w:p>
        </w:tc>
        <w:tc>
          <w:tcPr>
            <w:tcW w:w="767" w:type="dxa"/>
            <w:hideMark/>
          </w:tcPr>
          <w:p w14:paraId="10A1DFA2" w14:textId="77777777" w:rsidR="005333E9" w:rsidRPr="001225DD" w:rsidRDefault="005333E9" w:rsidP="00AA2133">
            <w:pPr>
              <w:pStyle w:val="RepStandard"/>
              <w:spacing w:before="120" w:after="120"/>
            </w:pPr>
            <w:r w:rsidRPr="001225DD">
              <w:t> </w:t>
            </w:r>
          </w:p>
        </w:tc>
        <w:tc>
          <w:tcPr>
            <w:tcW w:w="767" w:type="dxa"/>
            <w:hideMark/>
          </w:tcPr>
          <w:p w14:paraId="2D0D1036" w14:textId="77777777" w:rsidR="005333E9" w:rsidRPr="001225DD" w:rsidRDefault="005333E9" w:rsidP="00AA2133">
            <w:pPr>
              <w:pStyle w:val="RepStandard"/>
              <w:spacing w:before="120" w:after="120"/>
            </w:pPr>
            <w:r w:rsidRPr="001225DD">
              <w:t> </w:t>
            </w:r>
          </w:p>
        </w:tc>
        <w:tc>
          <w:tcPr>
            <w:tcW w:w="768" w:type="dxa"/>
            <w:hideMark/>
          </w:tcPr>
          <w:p w14:paraId="6933B098" w14:textId="77777777" w:rsidR="005333E9" w:rsidRPr="001225DD" w:rsidRDefault="005333E9" w:rsidP="00AA2133">
            <w:pPr>
              <w:pStyle w:val="RepStandard"/>
              <w:spacing w:before="120" w:after="120"/>
            </w:pPr>
            <w:r w:rsidRPr="001225DD">
              <w:t> </w:t>
            </w:r>
          </w:p>
        </w:tc>
      </w:tr>
      <w:tr w:rsidR="005333E9" w:rsidRPr="001225DD" w14:paraId="0CD85CC3" w14:textId="77777777" w:rsidTr="000A4436">
        <w:trPr>
          <w:trHeight w:val="375"/>
        </w:trPr>
        <w:tc>
          <w:tcPr>
            <w:tcW w:w="988" w:type="dxa"/>
            <w:hideMark/>
          </w:tcPr>
          <w:p w14:paraId="58B2C156" w14:textId="77777777" w:rsidR="005333E9" w:rsidRPr="001E5BD6" w:rsidRDefault="005333E9" w:rsidP="00AA2133">
            <w:pPr>
              <w:pStyle w:val="RepStandard"/>
              <w:spacing w:before="120" w:after="120"/>
              <w:rPr>
                <w:b/>
              </w:rPr>
            </w:pPr>
            <w:r w:rsidRPr="001E5BD6">
              <w:rPr>
                <w:b/>
              </w:rPr>
              <w:t>50%</w:t>
            </w:r>
          </w:p>
        </w:tc>
        <w:tc>
          <w:tcPr>
            <w:tcW w:w="1168" w:type="dxa"/>
            <w:hideMark/>
          </w:tcPr>
          <w:p w14:paraId="5CAFED43" w14:textId="77777777" w:rsidR="005333E9" w:rsidRPr="001E5BD6" w:rsidRDefault="005333E9" w:rsidP="00AA2133">
            <w:pPr>
              <w:pStyle w:val="RepStandard"/>
              <w:spacing w:before="120" w:after="120"/>
              <w:rPr>
                <w:b/>
              </w:rPr>
            </w:pPr>
            <w:r w:rsidRPr="001E5BD6">
              <w:rPr>
                <w:b/>
              </w:rPr>
              <w:t> </w:t>
            </w:r>
          </w:p>
        </w:tc>
        <w:tc>
          <w:tcPr>
            <w:tcW w:w="816" w:type="dxa"/>
            <w:hideMark/>
          </w:tcPr>
          <w:p w14:paraId="642E0831" w14:textId="77777777" w:rsidR="005333E9" w:rsidRPr="001225DD" w:rsidRDefault="005333E9" w:rsidP="00AA2133">
            <w:pPr>
              <w:pStyle w:val="RepStandard"/>
              <w:spacing w:before="120" w:after="120"/>
            </w:pPr>
            <w:r w:rsidRPr="001225DD">
              <w:t> </w:t>
            </w:r>
          </w:p>
        </w:tc>
        <w:tc>
          <w:tcPr>
            <w:tcW w:w="718" w:type="dxa"/>
            <w:hideMark/>
          </w:tcPr>
          <w:p w14:paraId="54FD2C5F" w14:textId="77777777" w:rsidR="005333E9" w:rsidRPr="001225DD" w:rsidRDefault="005333E9" w:rsidP="00AA2133">
            <w:pPr>
              <w:pStyle w:val="RepStandard"/>
              <w:spacing w:before="120" w:after="120"/>
            </w:pPr>
            <w:r w:rsidRPr="001225DD">
              <w:t> </w:t>
            </w:r>
          </w:p>
        </w:tc>
        <w:tc>
          <w:tcPr>
            <w:tcW w:w="768" w:type="dxa"/>
            <w:hideMark/>
          </w:tcPr>
          <w:p w14:paraId="0F9C19EC" w14:textId="77777777" w:rsidR="005333E9" w:rsidRPr="001225DD" w:rsidRDefault="005333E9" w:rsidP="00AA2133">
            <w:pPr>
              <w:pStyle w:val="RepStandard"/>
              <w:spacing w:before="120" w:after="120"/>
            </w:pPr>
            <w:r w:rsidRPr="001225DD">
              <w:t> </w:t>
            </w:r>
          </w:p>
        </w:tc>
        <w:tc>
          <w:tcPr>
            <w:tcW w:w="767" w:type="dxa"/>
            <w:hideMark/>
          </w:tcPr>
          <w:p w14:paraId="729B2B4D" w14:textId="77777777" w:rsidR="005333E9" w:rsidRPr="001225DD" w:rsidRDefault="005333E9" w:rsidP="00AA2133">
            <w:pPr>
              <w:pStyle w:val="RepStandard"/>
              <w:spacing w:before="120" w:after="120"/>
            </w:pPr>
            <w:r w:rsidRPr="001225DD">
              <w:t> </w:t>
            </w:r>
          </w:p>
        </w:tc>
        <w:tc>
          <w:tcPr>
            <w:tcW w:w="767" w:type="dxa"/>
            <w:hideMark/>
          </w:tcPr>
          <w:p w14:paraId="45D92E7F" w14:textId="77777777" w:rsidR="005333E9" w:rsidRPr="001225DD" w:rsidRDefault="005333E9" w:rsidP="00AA2133">
            <w:pPr>
              <w:pStyle w:val="RepStandard"/>
              <w:spacing w:before="120" w:after="120"/>
            </w:pPr>
            <w:r w:rsidRPr="001225DD">
              <w:t> </w:t>
            </w:r>
          </w:p>
        </w:tc>
        <w:tc>
          <w:tcPr>
            <w:tcW w:w="768" w:type="dxa"/>
            <w:hideMark/>
          </w:tcPr>
          <w:p w14:paraId="37D98BFD" w14:textId="77777777" w:rsidR="005333E9" w:rsidRPr="001225DD" w:rsidRDefault="005333E9" w:rsidP="00AA2133">
            <w:pPr>
              <w:pStyle w:val="RepStandard"/>
              <w:spacing w:before="120" w:after="120"/>
            </w:pPr>
            <w:r w:rsidRPr="001225DD">
              <w:t> </w:t>
            </w:r>
          </w:p>
        </w:tc>
        <w:tc>
          <w:tcPr>
            <w:tcW w:w="767" w:type="dxa"/>
            <w:hideMark/>
          </w:tcPr>
          <w:p w14:paraId="2FDC3830" w14:textId="77777777" w:rsidR="005333E9" w:rsidRPr="001225DD" w:rsidRDefault="005333E9" w:rsidP="00AA2133">
            <w:pPr>
              <w:pStyle w:val="RepStandard"/>
              <w:spacing w:before="120" w:after="120"/>
            </w:pPr>
            <w:r w:rsidRPr="001225DD">
              <w:t> </w:t>
            </w:r>
          </w:p>
        </w:tc>
        <w:tc>
          <w:tcPr>
            <w:tcW w:w="767" w:type="dxa"/>
            <w:hideMark/>
          </w:tcPr>
          <w:p w14:paraId="2E6443A8" w14:textId="77777777" w:rsidR="005333E9" w:rsidRPr="001225DD" w:rsidRDefault="005333E9" w:rsidP="00AA2133">
            <w:pPr>
              <w:pStyle w:val="RepStandard"/>
              <w:spacing w:before="120" w:after="120"/>
            </w:pPr>
            <w:r w:rsidRPr="001225DD">
              <w:t> </w:t>
            </w:r>
          </w:p>
        </w:tc>
        <w:tc>
          <w:tcPr>
            <w:tcW w:w="768" w:type="dxa"/>
            <w:hideMark/>
          </w:tcPr>
          <w:p w14:paraId="5784630A" w14:textId="77777777" w:rsidR="005333E9" w:rsidRPr="001225DD" w:rsidRDefault="005333E9" w:rsidP="00AA2133">
            <w:pPr>
              <w:pStyle w:val="RepStandard"/>
              <w:spacing w:before="120" w:after="120"/>
            </w:pPr>
            <w:r w:rsidRPr="001225DD">
              <w:t> </w:t>
            </w:r>
          </w:p>
        </w:tc>
      </w:tr>
      <w:tr w:rsidR="005333E9" w:rsidRPr="001225DD" w14:paraId="51ABFEA7" w14:textId="77777777" w:rsidTr="000A4436">
        <w:trPr>
          <w:trHeight w:val="375"/>
        </w:trPr>
        <w:tc>
          <w:tcPr>
            <w:tcW w:w="988" w:type="dxa"/>
            <w:hideMark/>
          </w:tcPr>
          <w:p w14:paraId="636B6E6B" w14:textId="77777777" w:rsidR="005333E9" w:rsidRPr="001E5BD6" w:rsidRDefault="005333E9" w:rsidP="00AA2133">
            <w:pPr>
              <w:pStyle w:val="RepStandard"/>
              <w:spacing w:before="120" w:after="120"/>
              <w:rPr>
                <w:b/>
              </w:rPr>
            </w:pPr>
            <w:r w:rsidRPr="001E5BD6">
              <w:rPr>
                <w:b/>
              </w:rPr>
              <w:t>75%</w:t>
            </w:r>
          </w:p>
        </w:tc>
        <w:tc>
          <w:tcPr>
            <w:tcW w:w="1168" w:type="dxa"/>
            <w:hideMark/>
          </w:tcPr>
          <w:p w14:paraId="2B77E6F3" w14:textId="77777777" w:rsidR="005333E9" w:rsidRPr="001E5BD6" w:rsidRDefault="005333E9" w:rsidP="00AA2133">
            <w:pPr>
              <w:pStyle w:val="RepStandard"/>
              <w:spacing w:before="120" w:after="120"/>
              <w:rPr>
                <w:b/>
              </w:rPr>
            </w:pPr>
            <w:r w:rsidRPr="001E5BD6">
              <w:rPr>
                <w:b/>
              </w:rPr>
              <w:t> </w:t>
            </w:r>
          </w:p>
        </w:tc>
        <w:tc>
          <w:tcPr>
            <w:tcW w:w="816" w:type="dxa"/>
            <w:hideMark/>
          </w:tcPr>
          <w:p w14:paraId="31E3B738" w14:textId="77777777" w:rsidR="005333E9" w:rsidRPr="001225DD" w:rsidRDefault="005333E9" w:rsidP="00AA2133">
            <w:pPr>
              <w:pStyle w:val="RepStandard"/>
              <w:spacing w:before="120" w:after="120"/>
            </w:pPr>
            <w:r w:rsidRPr="001225DD">
              <w:t> </w:t>
            </w:r>
          </w:p>
        </w:tc>
        <w:tc>
          <w:tcPr>
            <w:tcW w:w="718" w:type="dxa"/>
            <w:hideMark/>
          </w:tcPr>
          <w:p w14:paraId="07F8A901" w14:textId="77777777" w:rsidR="005333E9" w:rsidRPr="001225DD" w:rsidRDefault="005333E9" w:rsidP="00AA2133">
            <w:pPr>
              <w:pStyle w:val="RepStandard"/>
              <w:spacing w:before="120" w:after="120"/>
            </w:pPr>
            <w:r w:rsidRPr="001225DD">
              <w:t> </w:t>
            </w:r>
          </w:p>
        </w:tc>
        <w:tc>
          <w:tcPr>
            <w:tcW w:w="768" w:type="dxa"/>
            <w:hideMark/>
          </w:tcPr>
          <w:p w14:paraId="69782DAE" w14:textId="77777777" w:rsidR="005333E9" w:rsidRPr="001225DD" w:rsidRDefault="005333E9" w:rsidP="00AA2133">
            <w:pPr>
              <w:pStyle w:val="RepStandard"/>
              <w:spacing w:before="120" w:after="120"/>
            </w:pPr>
            <w:r w:rsidRPr="001225DD">
              <w:t> </w:t>
            </w:r>
          </w:p>
        </w:tc>
        <w:tc>
          <w:tcPr>
            <w:tcW w:w="767" w:type="dxa"/>
            <w:hideMark/>
          </w:tcPr>
          <w:p w14:paraId="427D4D65" w14:textId="77777777" w:rsidR="005333E9" w:rsidRPr="001225DD" w:rsidRDefault="005333E9" w:rsidP="00AA2133">
            <w:pPr>
              <w:pStyle w:val="RepStandard"/>
              <w:spacing w:before="120" w:after="120"/>
            </w:pPr>
            <w:r w:rsidRPr="001225DD">
              <w:t> </w:t>
            </w:r>
          </w:p>
        </w:tc>
        <w:tc>
          <w:tcPr>
            <w:tcW w:w="767" w:type="dxa"/>
            <w:hideMark/>
          </w:tcPr>
          <w:p w14:paraId="5C0EE5B8" w14:textId="77777777" w:rsidR="005333E9" w:rsidRPr="001225DD" w:rsidRDefault="005333E9" w:rsidP="00AA2133">
            <w:pPr>
              <w:pStyle w:val="RepStandard"/>
              <w:spacing w:before="120" w:after="120"/>
            </w:pPr>
            <w:r w:rsidRPr="001225DD">
              <w:t> </w:t>
            </w:r>
          </w:p>
        </w:tc>
        <w:tc>
          <w:tcPr>
            <w:tcW w:w="768" w:type="dxa"/>
            <w:hideMark/>
          </w:tcPr>
          <w:p w14:paraId="428FAF5E" w14:textId="77777777" w:rsidR="005333E9" w:rsidRPr="001225DD" w:rsidRDefault="005333E9" w:rsidP="00AA2133">
            <w:pPr>
              <w:pStyle w:val="RepStandard"/>
              <w:spacing w:before="120" w:after="120"/>
            </w:pPr>
            <w:r w:rsidRPr="001225DD">
              <w:t> </w:t>
            </w:r>
          </w:p>
        </w:tc>
        <w:tc>
          <w:tcPr>
            <w:tcW w:w="767" w:type="dxa"/>
            <w:hideMark/>
          </w:tcPr>
          <w:p w14:paraId="1D4775BA" w14:textId="77777777" w:rsidR="005333E9" w:rsidRPr="001225DD" w:rsidRDefault="005333E9" w:rsidP="00AA2133">
            <w:pPr>
              <w:pStyle w:val="RepStandard"/>
              <w:spacing w:before="120" w:after="120"/>
            </w:pPr>
            <w:r w:rsidRPr="001225DD">
              <w:t> </w:t>
            </w:r>
          </w:p>
        </w:tc>
        <w:tc>
          <w:tcPr>
            <w:tcW w:w="767" w:type="dxa"/>
            <w:hideMark/>
          </w:tcPr>
          <w:p w14:paraId="597C2C79" w14:textId="77777777" w:rsidR="005333E9" w:rsidRPr="001225DD" w:rsidRDefault="005333E9" w:rsidP="00AA2133">
            <w:pPr>
              <w:pStyle w:val="RepStandard"/>
              <w:spacing w:before="120" w:after="120"/>
            </w:pPr>
            <w:r w:rsidRPr="001225DD">
              <w:t> </w:t>
            </w:r>
          </w:p>
        </w:tc>
        <w:tc>
          <w:tcPr>
            <w:tcW w:w="768" w:type="dxa"/>
            <w:hideMark/>
          </w:tcPr>
          <w:p w14:paraId="0BC2F7E0" w14:textId="77777777" w:rsidR="005333E9" w:rsidRPr="001225DD" w:rsidRDefault="005333E9" w:rsidP="00AA2133">
            <w:pPr>
              <w:pStyle w:val="RepStandard"/>
              <w:spacing w:before="120" w:after="120"/>
            </w:pPr>
            <w:r w:rsidRPr="001225DD">
              <w:t> </w:t>
            </w:r>
          </w:p>
        </w:tc>
      </w:tr>
      <w:tr w:rsidR="005333E9" w:rsidRPr="001225DD" w14:paraId="2BE11061" w14:textId="77777777" w:rsidTr="000A4436">
        <w:trPr>
          <w:trHeight w:val="375"/>
        </w:trPr>
        <w:tc>
          <w:tcPr>
            <w:tcW w:w="988" w:type="dxa"/>
            <w:hideMark/>
          </w:tcPr>
          <w:p w14:paraId="4E5521F0" w14:textId="77777777" w:rsidR="005333E9" w:rsidRPr="001E5BD6" w:rsidRDefault="005333E9" w:rsidP="00AA2133">
            <w:pPr>
              <w:pStyle w:val="RepStandard"/>
              <w:spacing w:before="120" w:after="120"/>
              <w:rPr>
                <w:b/>
              </w:rPr>
            </w:pPr>
            <w:r w:rsidRPr="001E5BD6">
              <w:rPr>
                <w:b/>
              </w:rPr>
              <w:t>90%</w:t>
            </w:r>
          </w:p>
        </w:tc>
        <w:tc>
          <w:tcPr>
            <w:tcW w:w="1168" w:type="dxa"/>
            <w:hideMark/>
          </w:tcPr>
          <w:p w14:paraId="3303C2CA" w14:textId="77777777" w:rsidR="005333E9" w:rsidRPr="001E5BD6" w:rsidRDefault="005333E9" w:rsidP="00AA2133">
            <w:pPr>
              <w:pStyle w:val="RepStandard"/>
              <w:spacing w:before="120" w:after="120"/>
              <w:rPr>
                <w:b/>
              </w:rPr>
            </w:pPr>
            <w:r w:rsidRPr="001E5BD6">
              <w:rPr>
                <w:b/>
              </w:rPr>
              <w:t> </w:t>
            </w:r>
          </w:p>
        </w:tc>
        <w:tc>
          <w:tcPr>
            <w:tcW w:w="816" w:type="dxa"/>
            <w:hideMark/>
          </w:tcPr>
          <w:p w14:paraId="3254879D" w14:textId="77777777" w:rsidR="005333E9" w:rsidRPr="001225DD" w:rsidRDefault="005333E9" w:rsidP="00AA2133">
            <w:pPr>
              <w:pStyle w:val="RepStandard"/>
              <w:spacing w:before="120" w:after="120"/>
            </w:pPr>
            <w:r w:rsidRPr="001225DD">
              <w:t> </w:t>
            </w:r>
          </w:p>
        </w:tc>
        <w:tc>
          <w:tcPr>
            <w:tcW w:w="718" w:type="dxa"/>
            <w:hideMark/>
          </w:tcPr>
          <w:p w14:paraId="6FE36FC5" w14:textId="77777777" w:rsidR="005333E9" w:rsidRPr="001225DD" w:rsidRDefault="005333E9" w:rsidP="00AA2133">
            <w:pPr>
              <w:pStyle w:val="RepStandard"/>
              <w:spacing w:before="120" w:after="120"/>
            </w:pPr>
            <w:r w:rsidRPr="001225DD">
              <w:t> </w:t>
            </w:r>
          </w:p>
        </w:tc>
        <w:tc>
          <w:tcPr>
            <w:tcW w:w="768" w:type="dxa"/>
            <w:hideMark/>
          </w:tcPr>
          <w:p w14:paraId="0343BB53" w14:textId="77777777" w:rsidR="005333E9" w:rsidRPr="001225DD" w:rsidRDefault="005333E9" w:rsidP="00AA2133">
            <w:pPr>
              <w:pStyle w:val="RepStandard"/>
              <w:spacing w:before="120" w:after="120"/>
            </w:pPr>
            <w:r w:rsidRPr="001225DD">
              <w:t> </w:t>
            </w:r>
          </w:p>
        </w:tc>
        <w:tc>
          <w:tcPr>
            <w:tcW w:w="767" w:type="dxa"/>
            <w:hideMark/>
          </w:tcPr>
          <w:p w14:paraId="58762236" w14:textId="77777777" w:rsidR="005333E9" w:rsidRPr="001225DD" w:rsidRDefault="005333E9" w:rsidP="00AA2133">
            <w:pPr>
              <w:pStyle w:val="RepStandard"/>
              <w:spacing w:before="120" w:after="120"/>
            </w:pPr>
            <w:r w:rsidRPr="001225DD">
              <w:t> </w:t>
            </w:r>
          </w:p>
        </w:tc>
        <w:tc>
          <w:tcPr>
            <w:tcW w:w="767" w:type="dxa"/>
            <w:hideMark/>
          </w:tcPr>
          <w:p w14:paraId="470B6143" w14:textId="77777777" w:rsidR="005333E9" w:rsidRPr="001225DD" w:rsidRDefault="005333E9" w:rsidP="00AA2133">
            <w:pPr>
              <w:pStyle w:val="RepStandard"/>
              <w:spacing w:before="120" w:after="120"/>
            </w:pPr>
            <w:r w:rsidRPr="001225DD">
              <w:t> </w:t>
            </w:r>
          </w:p>
        </w:tc>
        <w:tc>
          <w:tcPr>
            <w:tcW w:w="768" w:type="dxa"/>
            <w:hideMark/>
          </w:tcPr>
          <w:p w14:paraId="1A9F2A8C" w14:textId="77777777" w:rsidR="005333E9" w:rsidRPr="001225DD" w:rsidRDefault="005333E9" w:rsidP="00AA2133">
            <w:pPr>
              <w:pStyle w:val="RepStandard"/>
              <w:spacing w:before="120" w:after="120"/>
            </w:pPr>
            <w:r w:rsidRPr="001225DD">
              <w:t> </w:t>
            </w:r>
          </w:p>
        </w:tc>
        <w:tc>
          <w:tcPr>
            <w:tcW w:w="767" w:type="dxa"/>
            <w:hideMark/>
          </w:tcPr>
          <w:p w14:paraId="67300337" w14:textId="77777777" w:rsidR="005333E9" w:rsidRPr="001225DD" w:rsidRDefault="005333E9" w:rsidP="00AA2133">
            <w:pPr>
              <w:pStyle w:val="RepStandard"/>
              <w:spacing w:before="120" w:after="120"/>
            </w:pPr>
            <w:r w:rsidRPr="001225DD">
              <w:t> </w:t>
            </w:r>
          </w:p>
        </w:tc>
        <w:tc>
          <w:tcPr>
            <w:tcW w:w="767" w:type="dxa"/>
            <w:hideMark/>
          </w:tcPr>
          <w:p w14:paraId="37F84453" w14:textId="77777777" w:rsidR="005333E9" w:rsidRPr="001225DD" w:rsidRDefault="005333E9" w:rsidP="00AA2133">
            <w:pPr>
              <w:pStyle w:val="RepStandard"/>
              <w:spacing w:before="120" w:after="120"/>
            </w:pPr>
            <w:r w:rsidRPr="001225DD">
              <w:t> </w:t>
            </w:r>
          </w:p>
        </w:tc>
        <w:tc>
          <w:tcPr>
            <w:tcW w:w="768" w:type="dxa"/>
            <w:hideMark/>
          </w:tcPr>
          <w:p w14:paraId="4A61FAD8" w14:textId="77777777" w:rsidR="005333E9" w:rsidRPr="001225DD" w:rsidRDefault="005333E9" w:rsidP="00AA2133">
            <w:pPr>
              <w:pStyle w:val="RepStandard"/>
              <w:spacing w:before="120" w:after="120"/>
            </w:pPr>
            <w:r w:rsidRPr="001225DD">
              <w:t> </w:t>
            </w:r>
          </w:p>
        </w:tc>
      </w:tr>
      <w:tr w:rsidR="005333E9" w:rsidRPr="001225DD" w14:paraId="5049C266" w14:textId="77777777" w:rsidTr="000A4436">
        <w:trPr>
          <w:trHeight w:val="375"/>
        </w:trPr>
        <w:tc>
          <w:tcPr>
            <w:tcW w:w="988" w:type="dxa"/>
            <w:hideMark/>
          </w:tcPr>
          <w:p w14:paraId="743E1FE5" w14:textId="77777777" w:rsidR="005333E9" w:rsidRPr="001E5BD6" w:rsidRDefault="005333E9" w:rsidP="00AA2133">
            <w:pPr>
              <w:pStyle w:val="RepStandard"/>
              <w:spacing w:before="120" w:after="120"/>
              <w:rPr>
                <w:b/>
              </w:rPr>
            </w:pPr>
            <w:r w:rsidRPr="001E5BD6">
              <w:rPr>
                <w:b/>
              </w:rPr>
              <w:t>None</w:t>
            </w:r>
          </w:p>
        </w:tc>
        <w:tc>
          <w:tcPr>
            <w:tcW w:w="1168" w:type="dxa"/>
            <w:hideMark/>
          </w:tcPr>
          <w:p w14:paraId="0E5A790C" w14:textId="77777777" w:rsidR="005333E9" w:rsidRPr="001E5BD6" w:rsidRDefault="005333E9" w:rsidP="00AA2133">
            <w:pPr>
              <w:pStyle w:val="RepStandard"/>
              <w:spacing w:before="120" w:after="120"/>
              <w:rPr>
                <w:b/>
              </w:rPr>
            </w:pPr>
            <w:r w:rsidRPr="001E5BD6">
              <w:rPr>
                <w:b/>
              </w:rPr>
              <w:t>D5 stream</w:t>
            </w:r>
          </w:p>
        </w:tc>
        <w:tc>
          <w:tcPr>
            <w:tcW w:w="816" w:type="dxa"/>
            <w:hideMark/>
          </w:tcPr>
          <w:p w14:paraId="3FE287B8" w14:textId="77777777" w:rsidR="005333E9" w:rsidRPr="001225DD" w:rsidRDefault="005333E9" w:rsidP="00AA2133">
            <w:pPr>
              <w:pStyle w:val="RepStandard"/>
              <w:spacing w:before="120" w:after="120"/>
            </w:pPr>
            <w:r w:rsidRPr="001225DD">
              <w:t> </w:t>
            </w:r>
          </w:p>
        </w:tc>
        <w:tc>
          <w:tcPr>
            <w:tcW w:w="718" w:type="dxa"/>
            <w:hideMark/>
          </w:tcPr>
          <w:p w14:paraId="707D66D2" w14:textId="77777777" w:rsidR="005333E9" w:rsidRPr="001225DD" w:rsidRDefault="005333E9" w:rsidP="00AA2133">
            <w:pPr>
              <w:pStyle w:val="RepStandard"/>
              <w:spacing w:before="120" w:after="120"/>
            </w:pPr>
            <w:r w:rsidRPr="001225DD">
              <w:t> </w:t>
            </w:r>
          </w:p>
        </w:tc>
        <w:tc>
          <w:tcPr>
            <w:tcW w:w="768" w:type="dxa"/>
            <w:hideMark/>
          </w:tcPr>
          <w:p w14:paraId="15DE8359" w14:textId="77777777" w:rsidR="005333E9" w:rsidRPr="001225DD" w:rsidRDefault="005333E9" w:rsidP="00AA2133">
            <w:pPr>
              <w:pStyle w:val="RepStandard"/>
              <w:spacing w:before="120" w:after="120"/>
            </w:pPr>
            <w:r w:rsidRPr="001225DD">
              <w:t> </w:t>
            </w:r>
          </w:p>
        </w:tc>
        <w:tc>
          <w:tcPr>
            <w:tcW w:w="767" w:type="dxa"/>
            <w:hideMark/>
          </w:tcPr>
          <w:p w14:paraId="1461A6F4" w14:textId="77777777" w:rsidR="005333E9" w:rsidRPr="001225DD" w:rsidRDefault="005333E9" w:rsidP="00AA2133">
            <w:pPr>
              <w:pStyle w:val="RepStandard"/>
              <w:spacing w:before="120" w:after="120"/>
            </w:pPr>
            <w:r w:rsidRPr="001225DD">
              <w:t> </w:t>
            </w:r>
          </w:p>
        </w:tc>
        <w:tc>
          <w:tcPr>
            <w:tcW w:w="767" w:type="dxa"/>
            <w:hideMark/>
          </w:tcPr>
          <w:p w14:paraId="014EAC45" w14:textId="77777777" w:rsidR="005333E9" w:rsidRPr="001225DD" w:rsidRDefault="005333E9" w:rsidP="00AA2133">
            <w:pPr>
              <w:pStyle w:val="RepStandard"/>
              <w:spacing w:before="120" w:after="120"/>
            </w:pPr>
            <w:r w:rsidRPr="001225DD">
              <w:t> </w:t>
            </w:r>
          </w:p>
        </w:tc>
        <w:tc>
          <w:tcPr>
            <w:tcW w:w="768" w:type="dxa"/>
            <w:hideMark/>
          </w:tcPr>
          <w:p w14:paraId="42338D70" w14:textId="77777777" w:rsidR="005333E9" w:rsidRPr="001225DD" w:rsidRDefault="005333E9" w:rsidP="00AA2133">
            <w:pPr>
              <w:pStyle w:val="RepStandard"/>
              <w:spacing w:before="120" w:after="120"/>
            </w:pPr>
            <w:r w:rsidRPr="001225DD">
              <w:t> </w:t>
            </w:r>
          </w:p>
        </w:tc>
        <w:tc>
          <w:tcPr>
            <w:tcW w:w="767" w:type="dxa"/>
            <w:hideMark/>
          </w:tcPr>
          <w:p w14:paraId="4EC5C845" w14:textId="77777777" w:rsidR="005333E9" w:rsidRPr="001225DD" w:rsidRDefault="005333E9" w:rsidP="00AA2133">
            <w:pPr>
              <w:pStyle w:val="RepStandard"/>
              <w:spacing w:before="120" w:after="120"/>
            </w:pPr>
            <w:r w:rsidRPr="001225DD">
              <w:t> </w:t>
            </w:r>
          </w:p>
        </w:tc>
        <w:tc>
          <w:tcPr>
            <w:tcW w:w="767" w:type="dxa"/>
            <w:hideMark/>
          </w:tcPr>
          <w:p w14:paraId="14A0E86B" w14:textId="77777777" w:rsidR="005333E9" w:rsidRPr="001225DD" w:rsidRDefault="005333E9" w:rsidP="00AA2133">
            <w:pPr>
              <w:pStyle w:val="RepStandard"/>
              <w:spacing w:before="120" w:after="120"/>
            </w:pPr>
            <w:r w:rsidRPr="001225DD">
              <w:t> </w:t>
            </w:r>
          </w:p>
        </w:tc>
        <w:tc>
          <w:tcPr>
            <w:tcW w:w="768" w:type="dxa"/>
            <w:hideMark/>
          </w:tcPr>
          <w:p w14:paraId="7C01132E" w14:textId="77777777" w:rsidR="005333E9" w:rsidRPr="001225DD" w:rsidRDefault="005333E9" w:rsidP="00AA2133">
            <w:pPr>
              <w:pStyle w:val="RepStandard"/>
              <w:spacing w:before="120" w:after="120"/>
            </w:pPr>
            <w:r w:rsidRPr="001225DD">
              <w:t> </w:t>
            </w:r>
          </w:p>
        </w:tc>
      </w:tr>
      <w:tr w:rsidR="005333E9" w:rsidRPr="001225DD" w14:paraId="285A74D3" w14:textId="77777777" w:rsidTr="000A4436">
        <w:trPr>
          <w:trHeight w:val="375"/>
        </w:trPr>
        <w:tc>
          <w:tcPr>
            <w:tcW w:w="988" w:type="dxa"/>
            <w:hideMark/>
          </w:tcPr>
          <w:p w14:paraId="38B3921B" w14:textId="77777777" w:rsidR="005333E9" w:rsidRPr="001E5BD6" w:rsidRDefault="005333E9" w:rsidP="00AA2133">
            <w:pPr>
              <w:pStyle w:val="RepStandard"/>
              <w:spacing w:before="120" w:after="120"/>
              <w:rPr>
                <w:b/>
              </w:rPr>
            </w:pPr>
            <w:r w:rsidRPr="001E5BD6">
              <w:rPr>
                <w:b/>
              </w:rPr>
              <w:t>50%</w:t>
            </w:r>
          </w:p>
        </w:tc>
        <w:tc>
          <w:tcPr>
            <w:tcW w:w="1168" w:type="dxa"/>
            <w:hideMark/>
          </w:tcPr>
          <w:p w14:paraId="5BF8E17C" w14:textId="77777777" w:rsidR="005333E9" w:rsidRPr="001E5BD6" w:rsidRDefault="005333E9" w:rsidP="00AA2133">
            <w:pPr>
              <w:pStyle w:val="RepStandard"/>
              <w:spacing w:before="120" w:after="120"/>
              <w:rPr>
                <w:b/>
              </w:rPr>
            </w:pPr>
            <w:r w:rsidRPr="001E5BD6">
              <w:rPr>
                <w:b/>
              </w:rPr>
              <w:t> </w:t>
            </w:r>
          </w:p>
        </w:tc>
        <w:tc>
          <w:tcPr>
            <w:tcW w:w="816" w:type="dxa"/>
            <w:hideMark/>
          </w:tcPr>
          <w:p w14:paraId="75EF3D6B" w14:textId="77777777" w:rsidR="005333E9" w:rsidRPr="001225DD" w:rsidRDefault="005333E9" w:rsidP="00AA2133">
            <w:pPr>
              <w:pStyle w:val="RepStandard"/>
              <w:spacing w:before="120" w:after="120"/>
            </w:pPr>
            <w:r w:rsidRPr="001225DD">
              <w:t> </w:t>
            </w:r>
          </w:p>
        </w:tc>
        <w:tc>
          <w:tcPr>
            <w:tcW w:w="718" w:type="dxa"/>
            <w:hideMark/>
          </w:tcPr>
          <w:p w14:paraId="761416DF" w14:textId="77777777" w:rsidR="005333E9" w:rsidRPr="001225DD" w:rsidRDefault="005333E9" w:rsidP="00AA2133">
            <w:pPr>
              <w:pStyle w:val="RepStandard"/>
              <w:spacing w:before="120" w:after="120"/>
            </w:pPr>
            <w:r w:rsidRPr="001225DD">
              <w:t> </w:t>
            </w:r>
          </w:p>
        </w:tc>
        <w:tc>
          <w:tcPr>
            <w:tcW w:w="768" w:type="dxa"/>
            <w:hideMark/>
          </w:tcPr>
          <w:p w14:paraId="7BBE6384" w14:textId="77777777" w:rsidR="005333E9" w:rsidRPr="001225DD" w:rsidRDefault="005333E9" w:rsidP="00AA2133">
            <w:pPr>
              <w:pStyle w:val="RepStandard"/>
              <w:spacing w:before="120" w:after="120"/>
            </w:pPr>
            <w:r w:rsidRPr="001225DD">
              <w:t> </w:t>
            </w:r>
          </w:p>
        </w:tc>
        <w:tc>
          <w:tcPr>
            <w:tcW w:w="767" w:type="dxa"/>
            <w:hideMark/>
          </w:tcPr>
          <w:p w14:paraId="51FCBE8E" w14:textId="77777777" w:rsidR="005333E9" w:rsidRPr="001225DD" w:rsidRDefault="005333E9" w:rsidP="00AA2133">
            <w:pPr>
              <w:pStyle w:val="RepStandard"/>
              <w:spacing w:before="120" w:after="120"/>
            </w:pPr>
            <w:r w:rsidRPr="001225DD">
              <w:t> </w:t>
            </w:r>
          </w:p>
        </w:tc>
        <w:tc>
          <w:tcPr>
            <w:tcW w:w="767" w:type="dxa"/>
            <w:hideMark/>
          </w:tcPr>
          <w:p w14:paraId="6827344F" w14:textId="77777777" w:rsidR="005333E9" w:rsidRPr="001225DD" w:rsidRDefault="005333E9" w:rsidP="00AA2133">
            <w:pPr>
              <w:pStyle w:val="RepStandard"/>
              <w:spacing w:before="120" w:after="120"/>
            </w:pPr>
            <w:r w:rsidRPr="001225DD">
              <w:t> </w:t>
            </w:r>
          </w:p>
        </w:tc>
        <w:tc>
          <w:tcPr>
            <w:tcW w:w="768" w:type="dxa"/>
            <w:hideMark/>
          </w:tcPr>
          <w:p w14:paraId="430EBC07" w14:textId="77777777" w:rsidR="005333E9" w:rsidRPr="001225DD" w:rsidRDefault="005333E9" w:rsidP="00AA2133">
            <w:pPr>
              <w:pStyle w:val="RepStandard"/>
              <w:spacing w:before="120" w:after="120"/>
            </w:pPr>
            <w:r w:rsidRPr="001225DD">
              <w:t> </w:t>
            </w:r>
          </w:p>
        </w:tc>
        <w:tc>
          <w:tcPr>
            <w:tcW w:w="767" w:type="dxa"/>
            <w:hideMark/>
          </w:tcPr>
          <w:p w14:paraId="27501FA7" w14:textId="77777777" w:rsidR="005333E9" w:rsidRPr="001225DD" w:rsidRDefault="005333E9" w:rsidP="00AA2133">
            <w:pPr>
              <w:pStyle w:val="RepStandard"/>
              <w:spacing w:before="120" w:after="120"/>
            </w:pPr>
            <w:r w:rsidRPr="001225DD">
              <w:t> </w:t>
            </w:r>
          </w:p>
        </w:tc>
        <w:tc>
          <w:tcPr>
            <w:tcW w:w="767" w:type="dxa"/>
            <w:hideMark/>
          </w:tcPr>
          <w:p w14:paraId="47DB0B9B" w14:textId="77777777" w:rsidR="005333E9" w:rsidRPr="001225DD" w:rsidRDefault="005333E9" w:rsidP="00AA2133">
            <w:pPr>
              <w:pStyle w:val="RepStandard"/>
              <w:spacing w:before="120" w:after="120"/>
            </w:pPr>
            <w:r w:rsidRPr="001225DD">
              <w:t> </w:t>
            </w:r>
          </w:p>
        </w:tc>
        <w:tc>
          <w:tcPr>
            <w:tcW w:w="768" w:type="dxa"/>
            <w:hideMark/>
          </w:tcPr>
          <w:p w14:paraId="39590D27" w14:textId="77777777" w:rsidR="005333E9" w:rsidRPr="001225DD" w:rsidRDefault="005333E9" w:rsidP="00AA2133">
            <w:pPr>
              <w:pStyle w:val="RepStandard"/>
              <w:spacing w:before="120" w:after="120"/>
            </w:pPr>
            <w:r w:rsidRPr="001225DD">
              <w:t> </w:t>
            </w:r>
          </w:p>
        </w:tc>
      </w:tr>
      <w:tr w:rsidR="005333E9" w:rsidRPr="001225DD" w14:paraId="457DE9F7" w14:textId="77777777" w:rsidTr="000A4436">
        <w:trPr>
          <w:trHeight w:val="375"/>
        </w:trPr>
        <w:tc>
          <w:tcPr>
            <w:tcW w:w="988" w:type="dxa"/>
            <w:hideMark/>
          </w:tcPr>
          <w:p w14:paraId="31408C75" w14:textId="77777777" w:rsidR="005333E9" w:rsidRPr="001E5BD6" w:rsidRDefault="005333E9" w:rsidP="00AA2133">
            <w:pPr>
              <w:pStyle w:val="RepStandard"/>
              <w:spacing w:before="120" w:after="120"/>
              <w:rPr>
                <w:b/>
              </w:rPr>
            </w:pPr>
            <w:r w:rsidRPr="001E5BD6">
              <w:rPr>
                <w:b/>
              </w:rPr>
              <w:t>75%</w:t>
            </w:r>
          </w:p>
        </w:tc>
        <w:tc>
          <w:tcPr>
            <w:tcW w:w="1168" w:type="dxa"/>
            <w:hideMark/>
          </w:tcPr>
          <w:p w14:paraId="14593B20" w14:textId="77777777" w:rsidR="005333E9" w:rsidRPr="001E5BD6" w:rsidRDefault="005333E9" w:rsidP="00AA2133">
            <w:pPr>
              <w:pStyle w:val="RepStandard"/>
              <w:spacing w:before="120" w:after="120"/>
              <w:rPr>
                <w:b/>
              </w:rPr>
            </w:pPr>
            <w:r w:rsidRPr="001E5BD6">
              <w:rPr>
                <w:b/>
              </w:rPr>
              <w:t> </w:t>
            </w:r>
          </w:p>
        </w:tc>
        <w:tc>
          <w:tcPr>
            <w:tcW w:w="816" w:type="dxa"/>
            <w:hideMark/>
          </w:tcPr>
          <w:p w14:paraId="3E3DED34" w14:textId="77777777" w:rsidR="005333E9" w:rsidRPr="001225DD" w:rsidRDefault="005333E9" w:rsidP="00AA2133">
            <w:pPr>
              <w:pStyle w:val="RepStandard"/>
              <w:spacing w:before="120" w:after="120"/>
            </w:pPr>
            <w:r w:rsidRPr="001225DD">
              <w:t> </w:t>
            </w:r>
          </w:p>
        </w:tc>
        <w:tc>
          <w:tcPr>
            <w:tcW w:w="718" w:type="dxa"/>
            <w:hideMark/>
          </w:tcPr>
          <w:p w14:paraId="68C1AEAB" w14:textId="77777777" w:rsidR="005333E9" w:rsidRPr="001225DD" w:rsidRDefault="005333E9" w:rsidP="00AA2133">
            <w:pPr>
              <w:pStyle w:val="RepStandard"/>
              <w:spacing w:before="120" w:after="120"/>
            </w:pPr>
            <w:r w:rsidRPr="001225DD">
              <w:t> </w:t>
            </w:r>
          </w:p>
        </w:tc>
        <w:tc>
          <w:tcPr>
            <w:tcW w:w="768" w:type="dxa"/>
            <w:hideMark/>
          </w:tcPr>
          <w:p w14:paraId="6956BA99" w14:textId="77777777" w:rsidR="005333E9" w:rsidRPr="001225DD" w:rsidRDefault="005333E9" w:rsidP="00AA2133">
            <w:pPr>
              <w:pStyle w:val="RepStandard"/>
              <w:spacing w:before="120" w:after="120"/>
            </w:pPr>
            <w:r w:rsidRPr="001225DD">
              <w:t> </w:t>
            </w:r>
          </w:p>
        </w:tc>
        <w:tc>
          <w:tcPr>
            <w:tcW w:w="767" w:type="dxa"/>
            <w:hideMark/>
          </w:tcPr>
          <w:p w14:paraId="3F416FAD" w14:textId="77777777" w:rsidR="005333E9" w:rsidRPr="001225DD" w:rsidRDefault="005333E9" w:rsidP="00AA2133">
            <w:pPr>
              <w:pStyle w:val="RepStandard"/>
              <w:spacing w:before="120" w:after="120"/>
            </w:pPr>
            <w:r w:rsidRPr="001225DD">
              <w:t> </w:t>
            </w:r>
          </w:p>
        </w:tc>
        <w:tc>
          <w:tcPr>
            <w:tcW w:w="767" w:type="dxa"/>
            <w:hideMark/>
          </w:tcPr>
          <w:p w14:paraId="4C660F7F" w14:textId="77777777" w:rsidR="005333E9" w:rsidRPr="001225DD" w:rsidRDefault="005333E9" w:rsidP="00AA2133">
            <w:pPr>
              <w:pStyle w:val="RepStandard"/>
              <w:spacing w:before="120" w:after="120"/>
            </w:pPr>
            <w:r w:rsidRPr="001225DD">
              <w:t> </w:t>
            </w:r>
          </w:p>
        </w:tc>
        <w:tc>
          <w:tcPr>
            <w:tcW w:w="768" w:type="dxa"/>
            <w:hideMark/>
          </w:tcPr>
          <w:p w14:paraId="026D5834" w14:textId="77777777" w:rsidR="005333E9" w:rsidRPr="001225DD" w:rsidRDefault="005333E9" w:rsidP="00AA2133">
            <w:pPr>
              <w:pStyle w:val="RepStandard"/>
              <w:spacing w:before="120" w:after="120"/>
            </w:pPr>
            <w:r w:rsidRPr="001225DD">
              <w:t> </w:t>
            </w:r>
          </w:p>
        </w:tc>
        <w:tc>
          <w:tcPr>
            <w:tcW w:w="767" w:type="dxa"/>
            <w:hideMark/>
          </w:tcPr>
          <w:p w14:paraId="37DD66EF" w14:textId="77777777" w:rsidR="005333E9" w:rsidRPr="001225DD" w:rsidRDefault="005333E9" w:rsidP="00AA2133">
            <w:pPr>
              <w:pStyle w:val="RepStandard"/>
              <w:spacing w:before="120" w:after="120"/>
            </w:pPr>
            <w:r w:rsidRPr="001225DD">
              <w:t> </w:t>
            </w:r>
          </w:p>
        </w:tc>
        <w:tc>
          <w:tcPr>
            <w:tcW w:w="767" w:type="dxa"/>
            <w:hideMark/>
          </w:tcPr>
          <w:p w14:paraId="43C2A077" w14:textId="77777777" w:rsidR="005333E9" w:rsidRPr="001225DD" w:rsidRDefault="005333E9" w:rsidP="00AA2133">
            <w:pPr>
              <w:pStyle w:val="RepStandard"/>
              <w:spacing w:before="120" w:after="120"/>
            </w:pPr>
            <w:r w:rsidRPr="001225DD">
              <w:t> </w:t>
            </w:r>
          </w:p>
        </w:tc>
        <w:tc>
          <w:tcPr>
            <w:tcW w:w="768" w:type="dxa"/>
            <w:hideMark/>
          </w:tcPr>
          <w:p w14:paraId="1C92C435" w14:textId="77777777" w:rsidR="005333E9" w:rsidRPr="001225DD" w:rsidRDefault="005333E9" w:rsidP="00AA2133">
            <w:pPr>
              <w:pStyle w:val="RepStandard"/>
              <w:spacing w:before="120" w:after="120"/>
            </w:pPr>
            <w:r w:rsidRPr="001225DD">
              <w:t> </w:t>
            </w:r>
          </w:p>
        </w:tc>
      </w:tr>
      <w:tr w:rsidR="005333E9" w:rsidRPr="001225DD" w14:paraId="6E37159B" w14:textId="77777777" w:rsidTr="000A4436">
        <w:trPr>
          <w:trHeight w:val="375"/>
        </w:trPr>
        <w:tc>
          <w:tcPr>
            <w:tcW w:w="988" w:type="dxa"/>
            <w:hideMark/>
          </w:tcPr>
          <w:p w14:paraId="0A8571DD" w14:textId="77777777" w:rsidR="005333E9" w:rsidRPr="001E5BD6" w:rsidRDefault="005333E9" w:rsidP="00AA2133">
            <w:pPr>
              <w:pStyle w:val="RepStandard"/>
              <w:spacing w:before="120" w:after="120"/>
              <w:rPr>
                <w:b/>
              </w:rPr>
            </w:pPr>
            <w:r w:rsidRPr="001E5BD6">
              <w:rPr>
                <w:b/>
              </w:rPr>
              <w:t>90%</w:t>
            </w:r>
          </w:p>
        </w:tc>
        <w:tc>
          <w:tcPr>
            <w:tcW w:w="1168" w:type="dxa"/>
            <w:hideMark/>
          </w:tcPr>
          <w:p w14:paraId="3C6DE98D" w14:textId="77777777" w:rsidR="005333E9" w:rsidRPr="001E5BD6" w:rsidRDefault="005333E9" w:rsidP="00AA2133">
            <w:pPr>
              <w:pStyle w:val="RepStandard"/>
              <w:spacing w:before="120" w:after="120"/>
              <w:rPr>
                <w:b/>
              </w:rPr>
            </w:pPr>
            <w:r w:rsidRPr="001E5BD6">
              <w:rPr>
                <w:b/>
              </w:rPr>
              <w:t> </w:t>
            </w:r>
          </w:p>
        </w:tc>
        <w:tc>
          <w:tcPr>
            <w:tcW w:w="816" w:type="dxa"/>
            <w:hideMark/>
          </w:tcPr>
          <w:p w14:paraId="5FA59DE3" w14:textId="77777777" w:rsidR="005333E9" w:rsidRPr="001225DD" w:rsidRDefault="005333E9" w:rsidP="00AA2133">
            <w:pPr>
              <w:pStyle w:val="RepStandard"/>
              <w:spacing w:before="120" w:after="120"/>
            </w:pPr>
            <w:r w:rsidRPr="001225DD">
              <w:t> </w:t>
            </w:r>
          </w:p>
        </w:tc>
        <w:tc>
          <w:tcPr>
            <w:tcW w:w="718" w:type="dxa"/>
            <w:hideMark/>
          </w:tcPr>
          <w:p w14:paraId="6FA6FB3B" w14:textId="77777777" w:rsidR="005333E9" w:rsidRPr="001225DD" w:rsidRDefault="005333E9" w:rsidP="00AA2133">
            <w:pPr>
              <w:pStyle w:val="RepStandard"/>
              <w:spacing w:before="120" w:after="120"/>
            </w:pPr>
            <w:r w:rsidRPr="001225DD">
              <w:t> </w:t>
            </w:r>
          </w:p>
        </w:tc>
        <w:tc>
          <w:tcPr>
            <w:tcW w:w="768" w:type="dxa"/>
            <w:hideMark/>
          </w:tcPr>
          <w:p w14:paraId="74010A9B" w14:textId="77777777" w:rsidR="005333E9" w:rsidRPr="001225DD" w:rsidRDefault="005333E9" w:rsidP="00AA2133">
            <w:pPr>
              <w:pStyle w:val="RepStandard"/>
              <w:spacing w:before="120" w:after="120"/>
            </w:pPr>
            <w:r w:rsidRPr="001225DD">
              <w:t> </w:t>
            </w:r>
          </w:p>
        </w:tc>
        <w:tc>
          <w:tcPr>
            <w:tcW w:w="767" w:type="dxa"/>
            <w:hideMark/>
          </w:tcPr>
          <w:p w14:paraId="6700C608" w14:textId="77777777" w:rsidR="005333E9" w:rsidRPr="001225DD" w:rsidRDefault="005333E9" w:rsidP="00AA2133">
            <w:pPr>
              <w:pStyle w:val="RepStandard"/>
              <w:spacing w:before="120" w:after="120"/>
            </w:pPr>
            <w:r w:rsidRPr="001225DD">
              <w:t> </w:t>
            </w:r>
          </w:p>
        </w:tc>
        <w:tc>
          <w:tcPr>
            <w:tcW w:w="767" w:type="dxa"/>
            <w:hideMark/>
          </w:tcPr>
          <w:p w14:paraId="23BA0623" w14:textId="77777777" w:rsidR="005333E9" w:rsidRPr="001225DD" w:rsidRDefault="005333E9" w:rsidP="00AA2133">
            <w:pPr>
              <w:pStyle w:val="RepStandard"/>
              <w:spacing w:before="120" w:after="120"/>
            </w:pPr>
            <w:r w:rsidRPr="001225DD">
              <w:t> </w:t>
            </w:r>
          </w:p>
        </w:tc>
        <w:tc>
          <w:tcPr>
            <w:tcW w:w="768" w:type="dxa"/>
            <w:hideMark/>
          </w:tcPr>
          <w:p w14:paraId="328A2F67" w14:textId="77777777" w:rsidR="005333E9" w:rsidRPr="001225DD" w:rsidRDefault="005333E9" w:rsidP="00AA2133">
            <w:pPr>
              <w:pStyle w:val="RepStandard"/>
              <w:spacing w:before="120" w:after="120"/>
            </w:pPr>
            <w:r w:rsidRPr="001225DD">
              <w:t> </w:t>
            </w:r>
          </w:p>
        </w:tc>
        <w:tc>
          <w:tcPr>
            <w:tcW w:w="767" w:type="dxa"/>
            <w:hideMark/>
          </w:tcPr>
          <w:p w14:paraId="7A494F37" w14:textId="77777777" w:rsidR="005333E9" w:rsidRPr="001225DD" w:rsidRDefault="005333E9" w:rsidP="00AA2133">
            <w:pPr>
              <w:pStyle w:val="RepStandard"/>
              <w:spacing w:before="120" w:after="120"/>
            </w:pPr>
            <w:r w:rsidRPr="001225DD">
              <w:t> </w:t>
            </w:r>
          </w:p>
        </w:tc>
        <w:tc>
          <w:tcPr>
            <w:tcW w:w="767" w:type="dxa"/>
            <w:hideMark/>
          </w:tcPr>
          <w:p w14:paraId="6970F826" w14:textId="77777777" w:rsidR="005333E9" w:rsidRPr="001225DD" w:rsidRDefault="005333E9" w:rsidP="00AA2133">
            <w:pPr>
              <w:pStyle w:val="RepStandard"/>
              <w:spacing w:before="120" w:after="120"/>
            </w:pPr>
            <w:r w:rsidRPr="001225DD">
              <w:t> </w:t>
            </w:r>
          </w:p>
        </w:tc>
        <w:tc>
          <w:tcPr>
            <w:tcW w:w="768" w:type="dxa"/>
            <w:hideMark/>
          </w:tcPr>
          <w:p w14:paraId="2DECBDB8" w14:textId="77777777" w:rsidR="005333E9" w:rsidRPr="001225DD" w:rsidRDefault="005333E9" w:rsidP="00AA2133">
            <w:pPr>
              <w:pStyle w:val="RepStandard"/>
              <w:spacing w:before="120" w:after="120"/>
            </w:pPr>
            <w:r w:rsidRPr="001225DD">
              <w:t> </w:t>
            </w:r>
          </w:p>
        </w:tc>
      </w:tr>
      <w:tr w:rsidR="005333E9" w:rsidRPr="001225DD" w14:paraId="6575C533" w14:textId="77777777" w:rsidTr="000A4436">
        <w:trPr>
          <w:trHeight w:val="375"/>
        </w:trPr>
        <w:tc>
          <w:tcPr>
            <w:tcW w:w="988" w:type="dxa"/>
            <w:hideMark/>
          </w:tcPr>
          <w:p w14:paraId="5244CC60" w14:textId="77777777" w:rsidR="005333E9" w:rsidRPr="001E5BD6" w:rsidRDefault="005333E9" w:rsidP="00AA2133">
            <w:pPr>
              <w:pStyle w:val="RepStandard"/>
              <w:spacing w:before="120" w:after="120"/>
              <w:rPr>
                <w:b/>
              </w:rPr>
            </w:pPr>
            <w:r w:rsidRPr="001E5BD6">
              <w:rPr>
                <w:b/>
              </w:rPr>
              <w:t>None</w:t>
            </w:r>
          </w:p>
        </w:tc>
        <w:tc>
          <w:tcPr>
            <w:tcW w:w="1168" w:type="dxa"/>
            <w:hideMark/>
          </w:tcPr>
          <w:p w14:paraId="34615C76" w14:textId="77777777" w:rsidR="005333E9" w:rsidRPr="001E5BD6" w:rsidRDefault="005333E9" w:rsidP="00AA2133">
            <w:pPr>
              <w:pStyle w:val="RepStandard"/>
              <w:spacing w:before="120" w:after="120"/>
              <w:rPr>
                <w:b/>
              </w:rPr>
            </w:pPr>
            <w:r w:rsidRPr="001E5BD6">
              <w:rPr>
                <w:b/>
              </w:rPr>
              <w:t>D6 Ditch</w:t>
            </w:r>
          </w:p>
        </w:tc>
        <w:tc>
          <w:tcPr>
            <w:tcW w:w="816" w:type="dxa"/>
            <w:hideMark/>
          </w:tcPr>
          <w:p w14:paraId="1624EFB0" w14:textId="77777777" w:rsidR="005333E9" w:rsidRPr="001225DD" w:rsidRDefault="005333E9" w:rsidP="00AA2133">
            <w:pPr>
              <w:pStyle w:val="RepStandard"/>
              <w:spacing w:before="120" w:after="120"/>
            </w:pPr>
            <w:r w:rsidRPr="001225DD">
              <w:t> </w:t>
            </w:r>
          </w:p>
        </w:tc>
        <w:tc>
          <w:tcPr>
            <w:tcW w:w="718" w:type="dxa"/>
            <w:hideMark/>
          </w:tcPr>
          <w:p w14:paraId="220BFE18" w14:textId="77777777" w:rsidR="005333E9" w:rsidRPr="001225DD" w:rsidRDefault="005333E9" w:rsidP="00AA2133">
            <w:pPr>
              <w:pStyle w:val="RepStandard"/>
              <w:spacing w:before="120" w:after="120"/>
            </w:pPr>
            <w:r w:rsidRPr="001225DD">
              <w:t> </w:t>
            </w:r>
          </w:p>
        </w:tc>
        <w:tc>
          <w:tcPr>
            <w:tcW w:w="768" w:type="dxa"/>
            <w:hideMark/>
          </w:tcPr>
          <w:p w14:paraId="411F9950" w14:textId="77777777" w:rsidR="005333E9" w:rsidRPr="001225DD" w:rsidRDefault="005333E9" w:rsidP="00AA2133">
            <w:pPr>
              <w:pStyle w:val="RepStandard"/>
              <w:spacing w:before="120" w:after="120"/>
            </w:pPr>
            <w:r w:rsidRPr="001225DD">
              <w:t> </w:t>
            </w:r>
          </w:p>
        </w:tc>
        <w:tc>
          <w:tcPr>
            <w:tcW w:w="767" w:type="dxa"/>
            <w:hideMark/>
          </w:tcPr>
          <w:p w14:paraId="74496D8C" w14:textId="77777777" w:rsidR="005333E9" w:rsidRPr="001225DD" w:rsidRDefault="005333E9" w:rsidP="00AA2133">
            <w:pPr>
              <w:pStyle w:val="RepStandard"/>
              <w:spacing w:before="120" w:after="120"/>
            </w:pPr>
            <w:r w:rsidRPr="001225DD">
              <w:t> </w:t>
            </w:r>
          </w:p>
        </w:tc>
        <w:tc>
          <w:tcPr>
            <w:tcW w:w="767" w:type="dxa"/>
            <w:hideMark/>
          </w:tcPr>
          <w:p w14:paraId="3FFC8BBF" w14:textId="77777777" w:rsidR="005333E9" w:rsidRPr="001225DD" w:rsidRDefault="005333E9" w:rsidP="00AA2133">
            <w:pPr>
              <w:pStyle w:val="RepStandard"/>
              <w:spacing w:before="120" w:after="120"/>
            </w:pPr>
            <w:r w:rsidRPr="001225DD">
              <w:t> </w:t>
            </w:r>
          </w:p>
        </w:tc>
        <w:tc>
          <w:tcPr>
            <w:tcW w:w="768" w:type="dxa"/>
            <w:hideMark/>
          </w:tcPr>
          <w:p w14:paraId="5689E9D7" w14:textId="77777777" w:rsidR="005333E9" w:rsidRPr="001225DD" w:rsidRDefault="005333E9" w:rsidP="00AA2133">
            <w:pPr>
              <w:pStyle w:val="RepStandard"/>
              <w:spacing w:before="120" w:after="120"/>
            </w:pPr>
            <w:r w:rsidRPr="001225DD">
              <w:t> </w:t>
            </w:r>
          </w:p>
        </w:tc>
        <w:tc>
          <w:tcPr>
            <w:tcW w:w="767" w:type="dxa"/>
            <w:hideMark/>
          </w:tcPr>
          <w:p w14:paraId="03DCB394" w14:textId="77777777" w:rsidR="005333E9" w:rsidRPr="001225DD" w:rsidRDefault="005333E9" w:rsidP="00AA2133">
            <w:pPr>
              <w:pStyle w:val="RepStandard"/>
              <w:spacing w:before="120" w:after="120"/>
            </w:pPr>
            <w:r w:rsidRPr="001225DD">
              <w:t> </w:t>
            </w:r>
          </w:p>
        </w:tc>
        <w:tc>
          <w:tcPr>
            <w:tcW w:w="767" w:type="dxa"/>
            <w:hideMark/>
          </w:tcPr>
          <w:p w14:paraId="44E1D968" w14:textId="77777777" w:rsidR="005333E9" w:rsidRPr="001225DD" w:rsidRDefault="005333E9" w:rsidP="00AA2133">
            <w:pPr>
              <w:pStyle w:val="RepStandard"/>
              <w:spacing w:before="120" w:after="120"/>
            </w:pPr>
            <w:r w:rsidRPr="001225DD">
              <w:t> </w:t>
            </w:r>
          </w:p>
        </w:tc>
        <w:tc>
          <w:tcPr>
            <w:tcW w:w="768" w:type="dxa"/>
            <w:hideMark/>
          </w:tcPr>
          <w:p w14:paraId="275E3DCE" w14:textId="77777777" w:rsidR="005333E9" w:rsidRPr="001225DD" w:rsidRDefault="005333E9" w:rsidP="00AA2133">
            <w:pPr>
              <w:pStyle w:val="RepStandard"/>
              <w:spacing w:before="120" w:after="120"/>
            </w:pPr>
            <w:r w:rsidRPr="001225DD">
              <w:t> </w:t>
            </w:r>
          </w:p>
        </w:tc>
      </w:tr>
      <w:tr w:rsidR="005333E9" w:rsidRPr="001225DD" w14:paraId="6C38A534" w14:textId="77777777" w:rsidTr="000A4436">
        <w:trPr>
          <w:trHeight w:val="375"/>
        </w:trPr>
        <w:tc>
          <w:tcPr>
            <w:tcW w:w="988" w:type="dxa"/>
            <w:hideMark/>
          </w:tcPr>
          <w:p w14:paraId="721B2CA9" w14:textId="77777777" w:rsidR="005333E9" w:rsidRPr="001E5BD6" w:rsidRDefault="005333E9" w:rsidP="00AA2133">
            <w:pPr>
              <w:pStyle w:val="RepStandard"/>
              <w:spacing w:before="120" w:after="120"/>
              <w:rPr>
                <w:b/>
              </w:rPr>
            </w:pPr>
            <w:r w:rsidRPr="001E5BD6">
              <w:rPr>
                <w:b/>
              </w:rPr>
              <w:t>50%</w:t>
            </w:r>
          </w:p>
        </w:tc>
        <w:tc>
          <w:tcPr>
            <w:tcW w:w="1168" w:type="dxa"/>
            <w:hideMark/>
          </w:tcPr>
          <w:p w14:paraId="178D4842" w14:textId="77777777" w:rsidR="005333E9" w:rsidRPr="001E5BD6" w:rsidRDefault="005333E9" w:rsidP="00AA2133">
            <w:pPr>
              <w:pStyle w:val="RepStandard"/>
              <w:spacing w:before="120" w:after="120"/>
              <w:rPr>
                <w:b/>
              </w:rPr>
            </w:pPr>
            <w:r w:rsidRPr="001E5BD6">
              <w:rPr>
                <w:b/>
              </w:rPr>
              <w:t> </w:t>
            </w:r>
          </w:p>
        </w:tc>
        <w:tc>
          <w:tcPr>
            <w:tcW w:w="816" w:type="dxa"/>
            <w:hideMark/>
          </w:tcPr>
          <w:p w14:paraId="2219BF01" w14:textId="77777777" w:rsidR="005333E9" w:rsidRPr="001225DD" w:rsidRDefault="005333E9" w:rsidP="00AA2133">
            <w:pPr>
              <w:pStyle w:val="RepStandard"/>
              <w:spacing w:before="120" w:after="120"/>
            </w:pPr>
            <w:r w:rsidRPr="001225DD">
              <w:t> </w:t>
            </w:r>
          </w:p>
        </w:tc>
        <w:tc>
          <w:tcPr>
            <w:tcW w:w="718" w:type="dxa"/>
            <w:hideMark/>
          </w:tcPr>
          <w:p w14:paraId="50C15796" w14:textId="77777777" w:rsidR="005333E9" w:rsidRPr="001225DD" w:rsidRDefault="005333E9" w:rsidP="00AA2133">
            <w:pPr>
              <w:pStyle w:val="RepStandard"/>
              <w:spacing w:before="120" w:after="120"/>
            </w:pPr>
            <w:r w:rsidRPr="001225DD">
              <w:t> </w:t>
            </w:r>
          </w:p>
        </w:tc>
        <w:tc>
          <w:tcPr>
            <w:tcW w:w="768" w:type="dxa"/>
            <w:hideMark/>
          </w:tcPr>
          <w:p w14:paraId="244A079C" w14:textId="77777777" w:rsidR="005333E9" w:rsidRPr="001225DD" w:rsidRDefault="005333E9" w:rsidP="00AA2133">
            <w:pPr>
              <w:pStyle w:val="RepStandard"/>
              <w:spacing w:before="120" w:after="120"/>
            </w:pPr>
            <w:r w:rsidRPr="001225DD">
              <w:t> </w:t>
            </w:r>
          </w:p>
        </w:tc>
        <w:tc>
          <w:tcPr>
            <w:tcW w:w="767" w:type="dxa"/>
            <w:hideMark/>
          </w:tcPr>
          <w:p w14:paraId="4712B7A6" w14:textId="77777777" w:rsidR="005333E9" w:rsidRPr="001225DD" w:rsidRDefault="005333E9" w:rsidP="00AA2133">
            <w:pPr>
              <w:pStyle w:val="RepStandard"/>
              <w:spacing w:before="120" w:after="120"/>
            </w:pPr>
            <w:r w:rsidRPr="001225DD">
              <w:t> </w:t>
            </w:r>
          </w:p>
        </w:tc>
        <w:tc>
          <w:tcPr>
            <w:tcW w:w="767" w:type="dxa"/>
            <w:hideMark/>
          </w:tcPr>
          <w:p w14:paraId="341C3C30" w14:textId="77777777" w:rsidR="005333E9" w:rsidRPr="001225DD" w:rsidRDefault="005333E9" w:rsidP="00AA2133">
            <w:pPr>
              <w:pStyle w:val="RepStandard"/>
              <w:spacing w:before="120" w:after="120"/>
            </w:pPr>
            <w:r w:rsidRPr="001225DD">
              <w:t> </w:t>
            </w:r>
          </w:p>
        </w:tc>
        <w:tc>
          <w:tcPr>
            <w:tcW w:w="768" w:type="dxa"/>
            <w:hideMark/>
          </w:tcPr>
          <w:p w14:paraId="3A3DD1F5" w14:textId="77777777" w:rsidR="005333E9" w:rsidRPr="001225DD" w:rsidRDefault="005333E9" w:rsidP="00AA2133">
            <w:pPr>
              <w:pStyle w:val="RepStandard"/>
              <w:spacing w:before="120" w:after="120"/>
            </w:pPr>
            <w:r w:rsidRPr="001225DD">
              <w:t> </w:t>
            </w:r>
          </w:p>
        </w:tc>
        <w:tc>
          <w:tcPr>
            <w:tcW w:w="767" w:type="dxa"/>
            <w:hideMark/>
          </w:tcPr>
          <w:p w14:paraId="70AC79A5" w14:textId="77777777" w:rsidR="005333E9" w:rsidRPr="001225DD" w:rsidRDefault="005333E9" w:rsidP="00AA2133">
            <w:pPr>
              <w:pStyle w:val="RepStandard"/>
              <w:spacing w:before="120" w:after="120"/>
            </w:pPr>
            <w:r w:rsidRPr="001225DD">
              <w:t> </w:t>
            </w:r>
          </w:p>
        </w:tc>
        <w:tc>
          <w:tcPr>
            <w:tcW w:w="767" w:type="dxa"/>
            <w:hideMark/>
          </w:tcPr>
          <w:p w14:paraId="23C3A063" w14:textId="77777777" w:rsidR="005333E9" w:rsidRPr="001225DD" w:rsidRDefault="005333E9" w:rsidP="00AA2133">
            <w:pPr>
              <w:pStyle w:val="RepStandard"/>
              <w:spacing w:before="120" w:after="120"/>
            </w:pPr>
            <w:r w:rsidRPr="001225DD">
              <w:t> </w:t>
            </w:r>
          </w:p>
        </w:tc>
        <w:tc>
          <w:tcPr>
            <w:tcW w:w="768" w:type="dxa"/>
            <w:hideMark/>
          </w:tcPr>
          <w:p w14:paraId="22ECA9BE" w14:textId="77777777" w:rsidR="005333E9" w:rsidRPr="001225DD" w:rsidRDefault="005333E9" w:rsidP="00AA2133">
            <w:pPr>
              <w:pStyle w:val="RepStandard"/>
              <w:spacing w:before="120" w:after="120"/>
            </w:pPr>
            <w:r w:rsidRPr="001225DD">
              <w:t> </w:t>
            </w:r>
          </w:p>
        </w:tc>
      </w:tr>
      <w:tr w:rsidR="005333E9" w:rsidRPr="001225DD" w14:paraId="6CA1071E" w14:textId="77777777" w:rsidTr="000A4436">
        <w:trPr>
          <w:trHeight w:val="375"/>
        </w:trPr>
        <w:tc>
          <w:tcPr>
            <w:tcW w:w="988" w:type="dxa"/>
            <w:hideMark/>
          </w:tcPr>
          <w:p w14:paraId="5426AB29" w14:textId="77777777" w:rsidR="005333E9" w:rsidRPr="001E5BD6" w:rsidRDefault="005333E9" w:rsidP="00AA2133">
            <w:pPr>
              <w:pStyle w:val="RepStandard"/>
              <w:spacing w:before="120" w:after="120"/>
              <w:rPr>
                <w:b/>
              </w:rPr>
            </w:pPr>
            <w:r w:rsidRPr="001E5BD6">
              <w:rPr>
                <w:b/>
              </w:rPr>
              <w:t>75%</w:t>
            </w:r>
          </w:p>
        </w:tc>
        <w:tc>
          <w:tcPr>
            <w:tcW w:w="1168" w:type="dxa"/>
            <w:hideMark/>
          </w:tcPr>
          <w:p w14:paraId="6A8113B1" w14:textId="77777777" w:rsidR="005333E9" w:rsidRPr="001E5BD6" w:rsidRDefault="005333E9" w:rsidP="00AA2133">
            <w:pPr>
              <w:pStyle w:val="RepStandard"/>
              <w:spacing w:before="120" w:after="120"/>
              <w:rPr>
                <w:b/>
              </w:rPr>
            </w:pPr>
            <w:r w:rsidRPr="001E5BD6">
              <w:rPr>
                <w:b/>
              </w:rPr>
              <w:t> </w:t>
            </w:r>
          </w:p>
        </w:tc>
        <w:tc>
          <w:tcPr>
            <w:tcW w:w="816" w:type="dxa"/>
            <w:hideMark/>
          </w:tcPr>
          <w:p w14:paraId="74DD584C" w14:textId="77777777" w:rsidR="005333E9" w:rsidRPr="001225DD" w:rsidRDefault="005333E9" w:rsidP="00AA2133">
            <w:pPr>
              <w:pStyle w:val="RepStandard"/>
              <w:spacing w:before="120" w:after="120"/>
            </w:pPr>
            <w:r w:rsidRPr="001225DD">
              <w:t> </w:t>
            </w:r>
          </w:p>
        </w:tc>
        <w:tc>
          <w:tcPr>
            <w:tcW w:w="718" w:type="dxa"/>
            <w:hideMark/>
          </w:tcPr>
          <w:p w14:paraId="6A914422" w14:textId="77777777" w:rsidR="005333E9" w:rsidRPr="001225DD" w:rsidRDefault="005333E9" w:rsidP="00AA2133">
            <w:pPr>
              <w:pStyle w:val="RepStandard"/>
              <w:spacing w:before="120" w:after="120"/>
            </w:pPr>
            <w:r w:rsidRPr="001225DD">
              <w:t> </w:t>
            </w:r>
          </w:p>
        </w:tc>
        <w:tc>
          <w:tcPr>
            <w:tcW w:w="768" w:type="dxa"/>
            <w:hideMark/>
          </w:tcPr>
          <w:p w14:paraId="61EFB52D" w14:textId="77777777" w:rsidR="005333E9" w:rsidRPr="001225DD" w:rsidRDefault="005333E9" w:rsidP="00AA2133">
            <w:pPr>
              <w:pStyle w:val="RepStandard"/>
              <w:spacing w:before="120" w:after="120"/>
            </w:pPr>
            <w:r w:rsidRPr="001225DD">
              <w:t> </w:t>
            </w:r>
          </w:p>
        </w:tc>
        <w:tc>
          <w:tcPr>
            <w:tcW w:w="767" w:type="dxa"/>
            <w:hideMark/>
          </w:tcPr>
          <w:p w14:paraId="44065D9C" w14:textId="77777777" w:rsidR="005333E9" w:rsidRPr="001225DD" w:rsidRDefault="005333E9" w:rsidP="00AA2133">
            <w:pPr>
              <w:pStyle w:val="RepStandard"/>
              <w:spacing w:before="120" w:after="120"/>
            </w:pPr>
            <w:r w:rsidRPr="001225DD">
              <w:t> </w:t>
            </w:r>
          </w:p>
        </w:tc>
        <w:tc>
          <w:tcPr>
            <w:tcW w:w="767" w:type="dxa"/>
            <w:hideMark/>
          </w:tcPr>
          <w:p w14:paraId="4341F07B" w14:textId="77777777" w:rsidR="005333E9" w:rsidRPr="001225DD" w:rsidRDefault="005333E9" w:rsidP="00AA2133">
            <w:pPr>
              <w:pStyle w:val="RepStandard"/>
              <w:spacing w:before="120" w:after="120"/>
            </w:pPr>
            <w:r w:rsidRPr="001225DD">
              <w:t> </w:t>
            </w:r>
          </w:p>
        </w:tc>
        <w:tc>
          <w:tcPr>
            <w:tcW w:w="768" w:type="dxa"/>
            <w:hideMark/>
          </w:tcPr>
          <w:p w14:paraId="53B36B1C" w14:textId="77777777" w:rsidR="005333E9" w:rsidRPr="001225DD" w:rsidRDefault="005333E9" w:rsidP="00AA2133">
            <w:pPr>
              <w:pStyle w:val="RepStandard"/>
              <w:spacing w:before="120" w:after="120"/>
            </w:pPr>
            <w:r w:rsidRPr="001225DD">
              <w:t> </w:t>
            </w:r>
          </w:p>
        </w:tc>
        <w:tc>
          <w:tcPr>
            <w:tcW w:w="767" w:type="dxa"/>
            <w:hideMark/>
          </w:tcPr>
          <w:p w14:paraId="2520F581" w14:textId="77777777" w:rsidR="005333E9" w:rsidRPr="001225DD" w:rsidRDefault="005333E9" w:rsidP="00AA2133">
            <w:pPr>
              <w:pStyle w:val="RepStandard"/>
              <w:spacing w:before="120" w:after="120"/>
            </w:pPr>
            <w:r w:rsidRPr="001225DD">
              <w:t> </w:t>
            </w:r>
          </w:p>
        </w:tc>
        <w:tc>
          <w:tcPr>
            <w:tcW w:w="767" w:type="dxa"/>
            <w:hideMark/>
          </w:tcPr>
          <w:p w14:paraId="7C7711A7" w14:textId="77777777" w:rsidR="005333E9" w:rsidRPr="001225DD" w:rsidRDefault="005333E9" w:rsidP="00AA2133">
            <w:pPr>
              <w:pStyle w:val="RepStandard"/>
              <w:spacing w:before="120" w:after="120"/>
            </w:pPr>
            <w:r w:rsidRPr="001225DD">
              <w:t> </w:t>
            </w:r>
          </w:p>
        </w:tc>
        <w:tc>
          <w:tcPr>
            <w:tcW w:w="768" w:type="dxa"/>
            <w:hideMark/>
          </w:tcPr>
          <w:p w14:paraId="7EED31EB" w14:textId="77777777" w:rsidR="005333E9" w:rsidRPr="001225DD" w:rsidRDefault="005333E9" w:rsidP="00AA2133">
            <w:pPr>
              <w:pStyle w:val="RepStandard"/>
              <w:spacing w:before="120" w:after="120"/>
            </w:pPr>
            <w:r w:rsidRPr="001225DD">
              <w:t> </w:t>
            </w:r>
          </w:p>
        </w:tc>
      </w:tr>
      <w:tr w:rsidR="005333E9" w:rsidRPr="001225DD" w14:paraId="7CED6AAC" w14:textId="77777777" w:rsidTr="000A4436">
        <w:trPr>
          <w:trHeight w:val="375"/>
        </w:trPr>
        <w:tc>
          <w:tcPr>
            <w:tcW w:w="988" w:type="dxa"/>
            <w:hideMark/>
          </w:tcPr>
          <w:p w14:paraId="789B08C0" w14:textId="77777777" w:rsidR="005333E9" w:rsidRPr="001E5BD6" w:rsidRDefault="005333E9" w:rsidP="00AA2133">
            <w:pPr>
              <w:pStyle w:val="RepStandard"/>
              <w:spacing w:before="120" w:after="120"/>
              <w:rPr>
                <w:b/>
              </w:rPr>
            </w:pPr>
            <w:r w:rsidRPr="001E5BD6">
              <w:rPr>
                <w:b/>
              </w:rPr>
              <w:t>90%</w:t>
            </w:r>
          </w:p>
        </w:tc>
        <w:tc>
          <w:tcPr>
            <w:tcW w:w="1168" w:type="dxa"/>
            <w:hideMark/>
          </w:tcPr>
          <w:p w14:paraId="6EAB9B84" w14:textId="77777777" w:rsidR="005333E9" w:rsidRPr="001E5BD6" w:rsidRDefault="005333E9" w:rsidP="00AA2133">
            <w:pPr>
              <w:pStyle w:val="RepStandard"/>
              <w:spacing w:before="120" w:after="120"/>
              <w:rPr>
                <w:b/>
              </w:rPr>
            </w:pPr>
            <w:r w:rsidRPr="001E5BD6">
              <w:rPr>
                <w:b/>
              </w:rPr>
              <w:t> </w:t>
            </w:r>
          </w:p>
        </w:tc>
        <w:tc>
          <w:tcPr>
            <w:tcW w:w="816" w:type="dxa"/>
            <w:hideMark/>
          </w:tcPr>
          <w:p w14:paraId="487A1B34" w14:textId="77777777" w:rsidR="005333E9" w:rsidRPr="001225DD" w:rsidRDefault="005333E9" w:rsidP="00AA2133">
            <w:pPr>
              <w:pStyle w:val="RepStandard"/>
              <w:spacing w:before="120" w:after="120"/>
            </w:pPr>
            <w:r w:rsidRPr="001225DD">
              <w:t> </w:t>
            </w:r>
          </w:p>
        </w:tc>
        <w:tc>
          <w:tcPr>
            <w:tcW w:w="718" w:type="dxa"/>
            <w:hideMark/>
          </w:tcPr>
          <w:p w14:paraId="0F72644C" w14:textId="77777777" w:rsidR="005333E9" w:rsidRPr="001225DD" w:rsidRDefault="005333E9" w:rsidP="00AA2133">
            <w:pPr>
              <w:pStyle w:val="RepStandard"/>
              <w:spacing w:before="120" w:after="120"/>
            </w:pPr>
            <w:r w:rsidRPr="001225DD">
              <w:t> </w:t>
            </w:r>
          </w:p>
        </w:tc>
        <w:tc>
          <w:tcPr>
            <w:tcW w:w="768" w:type="dxa"/>
            <w:hideMark/>
          </w:tcPr>
          <w:p w14:paraId="327E793F" w14:textId="77777777" w:rsidR="005333E9" w:rsidRPr="001225DD" w:rsidRDefault="005333E9" w:rsidP="00AA2133">
            <w:pPr>
              <w:pStyle w:val="RepStandard"/>
              <w:spacing w:before="120" w:after="120"/>
            </w:pPr>
            <w:r w:rsidRPr="001225DD">
              <w:t> </w:t>
            </w:r>
          </w:p>
        </w:tc>
        <w:tc>
          <w:tcPr>
            <w:tcW w:w="767" w:type="dxa"/>
            <w:hideMark/>
          </w:tcPr>
          <w:p w14:paraId="38FE4439" w14:textId="77777777" w:rsidR="005333E9" w:rsidRPr="001225DD" w:rsidRDefault="005333E9" w:rsidP="00AA2133">
            <w:pPr>
              <w:pStyle w:val="RepStandard"/>
              <w:spacing w:before="120" w:after="120"/>
            </w:pPr>
            <w:r w:rsidRPr="001225DD">
              <w:t> </w:t>
            </w:r>
          </w:p>
        </w:tc>
        <w:tc>
          <w:tcPr>
            <w:tcW w:w="767" w:type="dxa"/>
            <w:hideMark/>
          </w:tcPr>
          <w:p w14:paraId="0D8C0C7C" w14:textId="77777777" w:rsidR="005333E9" w:rsidRPr="001225DD" w:rsidRDefault="005333E9" w:rsidP="00AA2133">
            <w:pPr>
              <w:pStyle w:val="RepStandard"/>
              <w:spacing w:before="120" w:after="120"/>
            </w:pPr>
            <w:r w:rsidRPr="001225DD">
              <w:t> </w:t>
            </w:r>
          </w:p>
        </w:tc>
        <w:tc>
          <w:tcPr>
            <w:tcW w:w="768" w:type="dxa"/>
            <w:hideMark/>
          </w:tcPr>
          <w:p w14:paraId="50C7B95A" w14:textId="77777777" w:rsidR="005333E9" w:rsidRPr="001225DD" w:rsidRDefault="005333E9" w:rsidP="00AA2133">
            <w:pPr>
              <w:pStyle w:val="RepStandard"/>
              <w:spacing w:before="120" w:after="120"/>
            </w:pPr>
            <w:r w:rsidRPr="001225DD">
              <w:t> </w:t>
            </w:r>
          </w:p>
        </w:tc>
        <w:tc>
          <w:tcPr>
            <w:tcW w:w="767" w:type="dxa"/>
            <w:hideMark/>
          </w:tcPr>
          <w:p w14:paraId="191E9667" w14:textId="77777777" w:rsidR="005333E9" w:rsidRPr="001225DD" w:rsidRDefault="005333E9" w:rsidP="00AA2133">
            <w:pPr>
              <w:pStyle w:val="RepStandard"/>
              <w:spacing w:before="120" w:after="120"/>
            </w:pPr>
            <w:r w:rsidRPr="001225DD">
              <w:t> </w:t>
            </w:r>
          </w:p>
        </w:tc>
        <w:tc>
          <w:tcPr>
            <w:tcW w:w="767" w:type="dxa"/>
            <w:hideMark/>
          </w:tcPr>
          <w:p w14:paraId="457CA5B0" w14:textId="77777777" w:rsidR="005333E9" w:rsidRPr="001225DD" w:rsidRDefault="005333E9" w:rsidP="00AA2133">
            <w:pPr>
              <w:pStyle w:val="RepStandard"/>
              <w:spacing w:before="120" w:after="120"/>
            </w:pPr>
            <w:r w:rsidRPr="001225DD">
              <w:t> </w:t>
            </w:r>
          </w:p>
        </w:tc>
        <w:tc>
          <w:tcPr>
            <w:tcW w:w="768" w:type="dxa"/>
            <w:hideMark/>
          </w:tcPr>
          <w:p w14:paraId="59ED3A96" w14:textId="77777777" w:rsidR="005333E9" w:rsidRPr="001225DD" w:rsidRDefault="005333E9" w:rsidP="00AA2133">
            <w:pPr>
              <w:pStyle w:val="RepStandard"/>
              <w:spacing w:before="120" w:after="120"/>
            </w:pPr>
            <w:r w:rsidRPr="001225DD">
              <w:t> </w:t>
            </w:r>
          </w:p>
        </w:tc>
      </w:tr>
      <w:tr w:rsidR="005333E9" w:rsidRPr="001225DD" w14:paraId="77780E22" w14:textId="77777777" w:rsidTr="000A4436">
        <w:trPr>
          <w:trHeight w:val="375"/>
        </w:trPr>
        <w:tc>
          <w:tcPr>
            <w:tcW w:w="988" w:type="dxa"/>
            <w:hideMark/>
          </w:tcPr>
          <w:p w14:paraId="3B22550D" w14:textId="77777777" w:rsidR="005333E9" w:rsidRPr="001E5BD6" w:rsidRDefault="005333E9" w:rsidP="00AA2133">
            <w:pPr>
              <w:pStyle w:val="RepStandard"/>
              <w:spacing w:before="120" w:after="120"/>
              <w:rPr>
                <w:b/>
              </w:rPr>
            </w:pPr>
            <w:r w:rsidRPr="001E5BD6">
              <w:rPr>
                <w:b/>
              </w:rPr>
              <w:t>None</w:t>
            </w:r>
          </w:p>
        </w:tc>
        <w:tc>
          <w:tcPr>
            <w:tcW w:w="1168" w:type="dxa"/>
            <w:hideMark/>
          </w:tcPr>
          <w:p w14:paraId="2F25A446" w14:textId="77777777" w:rsidR="005333E9" w:rsidRPr="001E5BD6" w:rsidRDefault="005333E9" w:rsidP="00AA2133">
            <w:pPr>
              <w:pStyle w:val="RepStandard"/>
              <w:spacing w:before="120" w:after="120"/>
              <w:rPr>
                <w:b/>
              </w:rPr>
            </w:pPr>
            <w:r w:rsidRPr="001E5BD6">
              <w:rPr>
                <w:b/>
              </w:rPr>
              <w:t>R1 pond</w:t>
            </w:r>
          </w:p>
        </w:tc>
        <w:tc>
          <w:tcPr>
            <w:tcW w:w="816" w:type="dxa"/>
            <w:hideMark/>
          </w:tcPr>
          <w:p w14:paraId="521BCF05" w14:textId="77777777" w:rsidR="005333E9" w:rsidRPr="001225DD" w:rsidRDefault="005333E9" w:rsidP="00AA2133">
            <w:pPr>
              <w:pStyle w:val="RepStandard"/>
              <w:spacing w:before="120" w:after="120"/>
            </w:pPr>
            <w:r w:rsidRPr="001225DD">
              <w:t> </w:t>
            </w:r>
          </w:p>
        </w:tc>
        <w:tc>
          <w:tcPr>
            <w:tcW w:w="718" w:type="dxa"/>
            <w:hideMark/>
          </w:tcPr>
          <w:p w14:paraId="0FE1D87F" w14:textId="77777777" w:rsidR="005333E9" w:rsidRPr="001225DD" w:rsidRDefault="005333E9" w:rsidP="00AA2133">
            <w:pPr>
              <w:pStyle w:val="RepStandard"/>
              <w:spacing w:before="120" w:after="120"/>
            </w:pPr>
            <w:r w:rsidRPr="001225DD">
              <w:t> </w:t>
            </w:r>
          </w:p>
        </w:tc>
        <w:tc>
          <w:tcPr>
            <w:tcW w:w="768" w:type="dxa"/>
            <w:hideMark/>
          </w:tcPr>
          <w:p w14:paraId="663B4645" w14:textId="77777777" w:rsidR="005333E9" w:rsidRPr="001225DD" w:rsidRDefault="005333E9" w:rsidP="00AA2133">
            <w:pPr>
              <w:pStyle w:val="RepStandard"/>
              <w:spacing w:before="120" w:after="120"/>
            </w:pPr>
            <w:r w:rsidRPr="001225DD">
              <w:t> </w:t>
            </w:r>
          </w:p>
        </w:tc>
        <w:tc>
          <w:tcPr>
            <w:tcW w:w="767" w:type="dxa"/>
            <w:hideMark/>
          </w:tcPr>
          <w:p w14:paraId="0B039F82" w14:textId="77777777" w:rsidR="005333E9" w:rsidRPr="001225DD" w:rsidRDefault="005333E9" w:rsidP="00AA2133">
            <w:pPr>
              <w:pStyle w:val="RepStandard"/>
              <w:spacing w:before="120" w:after="120"/>
            </w:pPr>
            <w:r w:rsidRPr="001225DD">
              <w:t> </w:t>
            </w:r>
          </w:p>
        </w:tc>
        <w:tc>
          <w:tcPr>
            <w:tcW w:w="767" w:type="dxa"/>
            <w:hideMark/>
          </w:tcPr>
          <w:p w14:paraId="250AFAEC" w14:textId="77777777" w:rsidR="005333E9" w:rsidRPr="001225DD" w:rsidRDefault="005333E9" w:rsidP="00AA2133">
            <w:pPr>
              <w:pStyle w:val="RepStandard"/>
              <w:spacing w:before="120" w:after="120"/>
            </w:pPr>
            <w:r w:rsidRPr="001225DD">
              <w:t> </w:t>
            </w:r>
          </w:p>
        </w:tc>
        <w:tc>
          <w:tcPr>
            <w:tcW w:w="768" w:type="dxa"/>
            <w:hideMark/>
          </w:tcPr>
          <w:p w14:paraId="3148E828" w14:textId="77777777" w:rsidR="005333E9" w:rsidRPr="001225DD" w:rsidRDefault="005333E9" w:rsidP="00AA2133">
            <w:pPr>
              <w:pStyle w:val="RepStandard"/>
              <w:spacing w:before="120" w:after="120"/>
            </w:pPr>
            <w:r w:rsidRPr="001225DD">
              <w:t> </w:t>
            </w:r>
          </w:p>
        </w:tc>
        <w:tc>
          <w:tcPr>
            <w:tcW w:w="767" w:type="dxa"/>
            <w:hideMark/>
          </w:tcPr>
          <w:p w14:paraId="54FF17C1" w14:textId="77777777" w:rsidR="005333E9" w:rsidRPr="001225DD" w:rsidRDefault="005333E9" w:rsidP="00AA2133">
            <w:pPr>
              <w:pStyle w:val="RepStandard"/>
              <w:spacing w:before="120" w:after="120"/>
            </w:pPr>
            <w:r w:rsidRPr="001225DD">
              <w:t> </w:t>
            </w:r>
          </w:p>
        </w:tc>
        <w:tc>
          <w:tcPr>
            <w:tcW w:w="767" w:type="dxa"/>
            <w:hideMark/>
          </w:tcPr>
          <w:p w14:paraId="593F1D0E" w14:textId="77777777" w:rsidR="005333E9" w:rsidRPr="001225DD" w:rsidRDefault="005333E9" w:rsidP="00AA2133">
            <w:pPr>
              <w:pStyle w:val="RepStandard"/>
              <w:spacing w:before="120" w:after="120"/>
            </w:pPr>
            <w:r w:rsidRPr="001225DD">
              <w:t> </w:t>
            </w:r>
          </w:p>
        </w:tc>
        <w:tc>
          <w:tcPr>
            <w:tcW w:w="768" w:type="dxa"/>
            <w:hideMark/>
          </w:tcPr>
          <w:p w14:paraId="654A8909" w14:textId="77777777" w:rsidR="005333E9" w:rsidRPr="001225DD" w:rsidRDefault="005333E9" w:rsidP="00AA2133">
            <w:pPr>
              <w:pStyle w:val="RepStandard"/>
              <w:spacing w:before="120" w:after="120"/>
            </w:pPr>
            <w:r w:rsidRPr="001225DD">
              <w:t> </w:t>
            </w:r>
          </w:p>
        </w:tc>
      </w:tr>
      <w:tr w:rsidR="005333E9" w:rsidRPr="001225DD" w14:paraId="1B852CEF" w14:textId="77777777" w:rsidTr="000A4436">
        <w:trPr>
          <w:trHeight w:val="375"/>
        </w:trPr>
        <w:tc>
          <w:tcPr>
            <w:tcW w:w="988" w:type="dxa"/>
            <w:hideMark/>
          </w:tcPr>
          <w:p w14:paraId="53C335D2" w14:textId="77777777" w:rsidR="005333E9" w:rsidRPr="001E5BD6" w:rsidRDefault="005333E9" w:rsidP="00AA2133">
            <w:pPr>
              <w:pStyle w:val="RepStandard"/>
              <w:spacing w:before="120" w:after="120"/>
              <w:rPr>
                <w:b/>
              </w:rPr>
            </w:pPr>
            <w:r w:rsidRPr="001E5BD6">
              <w:rPr>
                <w:b/>
              </w:rPr>
              <w:t>50%</w:t>
            </w:r>
          </w:p>
        </w:tc>
        <w:tc>
          <w:tcPr>
            <w:tcW w:w="1168" w:type="dxa"/>
            <w:hideMark/>
          </w:tcPr>
          <w:p w14:paraId="02F4A2B8" w14:textId="77777777" w:rsidR="005333E9" w:rsidRPr="001E5BD6" w:rsidRDefault="005333E9" w:rsidP="00AA2133">
            <w:pPr>
              <w:pStyle w:val="RepStandard"/>
              <w:spacing w:before="120" w:after="120"/>
              <w:rPr>
                <w:b/>
              </w:rPr>
            </w:pPr>
            <w:r w:rsidRPr="001E5BD6">
              <w:rPr>
                <w:b/>
              </w:rPr>
              <w:t> </w:t>
            </w:r>
          </w:p>
        </w:tc>
        <w:tc>
          <w:tcPr>
            <w:tcW w:w="816" w:type="dxa"/>
            <w:hideMark/>
          </w:tcPr>
          <w:p w14:paraId="7E130FC2" w14:textId="77777777" w:rsidR="005333E9" w:rsidRPr="001225DD" w:rsidRDefault="005333E9" w:rsidP="00AA2133">
            <w:pPr>
              <w:pStyle w:val="RepStandard"/>
              <w:spacing w:before="120" w:after="120"/>
            </w:pPr>
            <w:r w:rsidRPr="001225DD">
              <w:t> </w:t>
            </w:r>
          </w:p>
        </w:tc>
        <w:tc>
          <w:tcPr>
            <w:tcW w:w="718" w:type="dxa"/>
            <w:hideMark/>
          </w:tcPr>
          <w:p w14:paraId="3C50780B" w14:textId="77777777" w:rsidR="005333E9" w:rsidRPr="001225DD" w:rsidRDefault="005333E9" w:rsidP="00AA2133">
            <w:pPr>
              <w:pStyle w:val="RepStandard"/>
              <w:spacing w:before="120" w:after="120"/>
            </w:pPr>
            <w:r w:rsidRPr="001225DD">
              <w:t> </w:t>
            </w:r>
          </w:p>
        </w:tc>
        <w:tc>
          <w:tcPr>
            <w:tcW w:w="768" w:type="dxa"/>
            <w:hideMark/>
          </w:tcPr>
          <w:p w14:paraId="761A246C" w14:textId="77777777" w:rsidR="005333E9" w:rsidRPr="001225DD" w:rsidRDefault="005333E9" w:rsidP="00AA2133">
            <w:pPr>
              <w:pStyle w:val="RepStandard"/>
              <w:spacing w:before="120" w:after="120"/>
            </w:pPr>
            <w:r w:rsidRPr="001225DD">
              <w:t> </w:t>
            </w:r>
          </w:p>
        </w:tc>
        <w:tc>
          <w:tcPr>
            <w:tcW w:w="767" w:type="dxa"/>
            <w:hideMark/>
          </w:tcPr>
          <w:p w14:paraId="63F428AF" w14:textId="77777777" w:rsidR="005333E9" w:rsidRPr="001225DD" w:rsidRDefault="005333E9" w:rsidP="00AA2133">
            <w:pPr>
              <w:pStyle w:val="RepStandard"/>
              <w:spacing w:before="120" w:after="120"/>
            </w:pPr>
            <w:r w:rsidRPr="001225DD">
              <w:t> </w:t>
            </w:r>
          </w:p>
        </w:tc>
        <w:tc>
          <w:tcPr>
            <w:tcW w:w="767" w:type="dxa"/>
            <w:hideMark/>
          </w:tcPr>
          <w:p w14:paraId="28C9BFAE" w14:textId="77777777" w:rsidR="005333E9" w:rsidRPr="001225DD" w:rsidRDefault="005333E9" w:rsidP="00AA2133">
            <w:pPr>
              <w:pStyle w:val="RepStandard"/>
              <w:spacing w:before="120" w:after="120"/>
            </w:pPr>
            <w:r w:rsidRPr="001225DD">
              <w:t> </w:t>
            </w:r>
          </w:p>
        </w:tc>
        <w:tc>
          <w:tcPr>
            <w:tcW w:w="768" w:type="dxa"/>
            <w:hideMark/>
          </w:tcPr>
          <w:p w14:paraId="5ECB4496" w14:textId="77777777" w:rsidR="005333E9" w:rsidRPr="001225DD" w:rsidRDefault="005333E9" w:rsidP="00AA2133">
            <w:pPr>
              <w:pStyle w:val="RepStandard"/>
              <w:spacing w:before="120" w:after="120"/>
            </w:pPr>
            <w:r w:rsidRPr="001225DD">
              <w:t> </w:t>
            </w:r>
          </w:p>
        </w:tc>
        <w:tc>
          <w:tcPr>
            <w:tcW w:w="767" w:type="dxa"/>
            <w:hideMark/>
          </w:tcPr>
          <w:p w14:paraId="3713082F" w14:textId="77777777" w:rsidR="005333E9" w:rsidRPr="001225DD" w:rsidRDefault="005333E9" w:rsidP="00AA2133">
            <w:pPr>
              <w:pStyle w:val="RepStandard"/>
              <w:spacing w:before="120" w:after="120"/>
            </w:pPr>
            <w:r w:rsidRPr="001225DD">
              <w:t> </w:t>
            </w:r>
          </w:p>
        </w:tc>
        <w:tc>
          <w:tcPr>
            <w:tcW w:w="767" w:type="dxa"/>
            <w:hideMark/>
          </w:tcPr>
          <w:p w14:paraId="702DB6CF" w14:textId="77777777" w:rsidR="005333E9" w:rsidRPr="001225DD" w:rsidRDefault="005333E9" w:rsidP="00AA2133">
            <w:pPr>
              <w:pStyle w:val="RepStandard"/>
              <w:spacing w:before="120" w:after="120"/>
            </w:pPr>
            <w:r w:rsidRPr="001225DD">
              <w:t> </w:t>
            </w:r>
          </w:p>
        </w:tc>
        <w:tc>
          <w:tcPr>
            <w:tcW w:w="768" w:type="dxa"/>
            <w:hideMark/>
          </w:tcPr>
          <w:p w14:paraId="24CB04D5" w14:textId="77777777" w:rsidR="005333E9" w:rsidRPr="001225DD" w:rsidRDefault="005333E9" w:rsidP="00AA2133">
            <w:pPr>
              <w:pStyle w:val="RepStandard"/>
              <w:spacing w:before="120" w:after="120"/>
            </w:pPr>
            <w:r w:rsidRPr="001225DD">
              <w:t> </w:t>
            </w:r>
          </w:p>
        </w:tc>
      </w:tr>
      <w:tr w:rsidR="005333E9" w:rsidRPr="001225DD" w14:paraId="0781347A" w14:textId="77777777" w:rsidTr="000A4436">
        <w:trPr>
          <w:trHeight w:val="375"/>
        </w:trPr>
        <w:tc>
          <w:tcPr>
            <w:tcW w:w="988" w:type="dxa"/>
            <w:hideMark/>
          </w:tcPr>
          <w:p w14:paraId="5F198039" w14:textId="77777777" w:rsidR="005333E9" w:rsidRPr="001E5BD6" w:rsidRDefault="005333E9" w:rsidP="00AA2133">
            <w:pPr>
              <w:pStyle w:val="RepStandard"/>
              <w:spacing w:before="120" w:after="120"/>
              <w:rPr>
                <w:b/>
              </w:rPr>
            </w:pPr>
            <w:r w:rsidRPr="001E5BD6">
              <w:rPr>
                <w:b/>
              </w:rPr>
              <w:t>75%</w:t>
            </w:r>
          </w:p>
        </w:tc>
        <w:tc>
          <w:tcPr>
            <w:tcW w:w="1168" w:type="dxa"/>
            <w:hideMark/>
          </w:tcPr>
          <w:p w14:paraId="7058FBC5" w14:textId="77777777" w:rsidR="005333E9" w:rsidRPr="001E5BD6" w:rsidRDefault="005333E9" w:rsidP="00AA2133">
            <w:pPr>
              <w:pStyle w:val="RepStandard"/>
              <w:spacing w:before="120" w:after="120"/>
              <w:rPr>
                <w:b/>
              </w:rPr>
            </w:pPr>
            <w:r w:rsidRPr="001E5BD6">
              <w:rPr>
                <w:b/>
              </w:rPr>
              <w:t> </w:t>
            </w:r>
          </w:p>
        </w:tc>
        <w:tc>
          <w:tcPr>
            <w:tcW w:w="816" w:type="dxa"/>
            <w:hideMark/>
          </w:tcPr>
          <w:p w14:paraId="20BFB871" w14:textId="77777777" w:rsidR="005333E9" w:rsidRPr="001225DD" w:rsidRDefault="005333E9" w:rsidP="00AA2133">
            <w:pPr>
              <w:pStyle w:val="RepStandard"/>
              <w:spacing w:before="120" w:after="120"/>
            </w:pPr>
            <w:r w:rsidRPr="001225DD">
              <w:t> </w:t>
            </w:r>
          </w:p>
        </w:tc>
        <w:tc>
          <w:tcPr>
            <w:tcW w:w="718" w:type="dxa"/>
            <w:hideMark/>
          </w:tcPr>
          <w:p w14:paraId="761394E6" w14:textId="77777777" w:rsidR="005333E9" w:rsidRPr="001225DD" w:rsidRDefault="005333E9" w:rsidP="00AA2133">
            <w:pPr>
              <w:pStyle w:val="RepStandard"/>
              <w:spacing w:before="120" w:after="120"/>
            </w:pPr>
            <w:r w:rsidRPr="001225DD">
              <w:t> </w:t>
            </w:r>
          </w:p>
        </w:tc>
        <w:tc>
          <w:tcPr>
            <w:tcW w:w="768" w:type="dxa"/>
            <w:hideMark/>
          </w:tcPr>
          <w:p w14:paraId="68443131" w14:textId="77777777" w:rsidR="005333E9" w:rsidRPr="001225DD" w:rsidRDefault="005333E9" w:rsidP="00AA2133">
            <w:pPr>
              <w:pStyle w:val="RepStandard"/>
              <w:spacing w:before="120" w:after="120"/>
            </w:pPr>
            <w:r w:rsidRPr="001225DD">
              <w:t> </w:t>
            </w:r>
          </w:p>
        </w:tc>
        <w:tc>
          <w:tcPr>
            <w:tcW w:w="767" w:type="dxa"/>
            <w:hideMark/>
          </w:tcPr>
          <w:p w14:paraId="1B200589" w14:textId="77777777" w:rsidR="005333E9" w:rsidRPr="001225DD" w:rsidRDefault="005333E9" w:rsidP="00AA2133">
            <w:pPr>
              <w:pStyle w:val="RepStandard"/>
              <w:spacing w:before="120" w:after="120"/>
            </w:pPr>
            <w:r w:rsidRPr="001225DD">
              <w:t> </w:t>
            </w:r>
          </w:p>
        </w:tc>
        <w:tc>
          <w:tcPr>
            <w:tcW w:w="767" w:type="dxa"/>
            <w:hideMark/>
          </w:tcPr>
          <w:p w14:paraId="36811F5A" w14:textId="77777777" w:rsidR="005333E9" w:rsidRPr="001225DD" w:rsidRDefault="005333E9" w:rsidP="00AA2133">
            <w:pPr>
              <w:pStyle w:val="RepStandard"/>
              <w:spacing w:before="120" w:after="120"/>
            </w:pPr>
            <w:r w:rsidRPr="001225DD">
              <w:t> </w:t>
            </w:r>
          </w:p>
        </w:tc>
        <w:tc>
          <w:tcPr>
            <w:tcW w:w="768" w:type="dxa"/>
            <w:hideMark/>
          </w:tcPr>
          <w:p w14:paraId="129C9D95" w14:textId="77777777" w:rsidR="005333E9" w:rsidRPr="001225DD" w:rsidRDefault="005333E9" w:rsidP="00AA2133">
            <w:pPr>
              <w:pStyle w:val="RepStandard"/>
              <w:spacing w:before="120" w:after="120"/>
            </w:pPr>
            <w:r w:rsidRPr="001225DD">
              <w:t> </w:t>
            </w:r>
          </w:p>
        </w:tc>
        <w:tc>
          <w:tcPr>
            <w:tcW w:w="767" w:type="dxa"/>
            <w:hideMark/>
          </w:tcPr>
          <w:p w14:paraId="1D562776" w14:textId="77777777" w:rsidR="005333E9" w:rsidRPr="001225DD" w:rsidRDefault="005333E9" w:rsidP="00AA2133">
            <w:pPr>
              <w:pStyle w:val="RepStandard"/>
              <w:spacing w:before="120" w:after="120"/>
            </w:pPr>
            <w:r w:rsidRPr="001225DD">
              <w:t> </w:t>
            </w:r>
          </w:p>
        </w:tc>
        <w:tc>
          <w:tcPr>
            <w:tcW w:w="767" w:type="dxa"/>
            <w:hideMark/>
          </w:tcPr>
          <w:p w14:paraId="0D34948A" w14:textId="77777777" w:rsidR="005333E9" w:rsidRPr="001225DD" w:rsidRDefault="005333E9" w:rsidP="00AA2133">
            <w:pPr>
              <w:pStyle w:val="RepStandard"/>
              <w:spacing w:before="120" w:after="120"/>
            </w:pPr>
            <w:r w:rsidRPr="001225DD">
              <w:t> </w:t>
            </w:r>
          </w:p>
        </w:tc>
        <w:tc>
          <w:tcPr>
            <w:tcW w:w="768" w:type="dxa"/>
            <w:hideMark/>
          </w:tcPr>
          <w:p w14:paraId="35332E3A" w14:textId="77777777" w:rsidR="005333E9" w:rsidRPr="001225DD" w:rsidRDefault="005333E9" w:rsidP="00AA2133">
            <w:pPr>
              <w:pStyle w:val="RepStandard"/>
              <w:spacing w:before="120" w:after="120"/>
            </w:pPr>
            <w:r w:rsidRPr="001225DD">
              <w:t> </w:t>
            </w:r>
          </w:p>
        </w:tc>
      </w:tr>
      <w:tr w:rsidR="005333E9" w:rsidRPr="001225DD" w14:paraId="003F1472" w14:textId="77777777" w:rsidTr="000A4436">
        <w:trPr>
          <w:trHeight w:val="375"/>
        </w:trPr>
        <w:tc>
          <w:tcPr>
            <w:tcW w:w="988" w:type="dxa"/>
            <w:hideMark/>
          </w:tcPr>
          <w:p w14:paraId="02C6D1CA" w14:textId="77777777" w:rsidR="005333E9" w:rsidRPr="001E5BD6" w:rsidRDefault="005333E9" w:rsidP="00AA2133">
            <w:pPr>
              <w:pStyle w:val="RepStandard"/>
              <w:spacing w:before="120" w:after="120"/>
              <w:rPr>
                <w:b/>
              </w:rPr>
            </w:pPr>
            <w:r w:rsidRPr="001E5BD6">
              <w:rPr>
                <w:b/>
              </w:rPr>
              <w:t>90%</w:t>
            </w:r>
          </w:p>
        </w:tc>
        <w:tc>
          <w:tcPr>
            <w:tcW w:w="1168" w:type="dxa"/>
            <w:hideMark/>
          </w:tcPr>
          <w:p w14:paraId="206ADEF8" w14:textId="77777777" w:rsidR="005333E9" w:rsidRPr="001E5BD6" w:rsidRDefault="005333E9" w:rsidP="00AA2133">
            <w:pPr>
              <w:pStyle w:val="RepStandard"/>
              <w:spacing w:before="120" w:after="120"/>
              <w:rPr>
                <w:b/>
              </w:rPr>
            </w:pPr>
            <w:r w:rsidRPr="001E5BD6">
              <w:rPr>
                <w:b/>
              </w:rPr>
              <w:t> </w:t>
            </w:r>
          </w:p>
        </w:tc>
        <w:tc>
          <w:tcPr>
            <w:tcW w:w="816" w:type="dxa"/>
            <w:hideMark/>
          </w:tcPr>
          <w:p w14:paraId="3EF8867F" w14:textId="77777777" w:rsidR="005333E9" w:rsidRPr="001225DD" w:rsidRDefault="005333E9" w:rsidP="00AA2133">
            <w:pPr>
              <w:pStyle w:val="RepStandard"/>
              <w:spacing w:before="120" w:after="120"/>
            </w:pPr>
            <w:r w:rsidRPr="001225DD">
              <w:t> </w:t>
            </w:r>
          </w:p>
        </w:tc>
        <w:tc>
          <w:tcPr>
            <w:tcW w:w="718" w:type="dxa"/>
            <w:hideMark/>
          </w:tcPr>
          <w:p w14:paraId="5F4C7BAB" w14:textId="77777777" w:rsidR="005333E9" w:rsidRPr="001225DD" w:rsidRDefault="005333E9" w:rsidP="00AA2133">
            <w:pPr>
              <w:pStyle w:val="RepStandard"/>
              <w:spacing w:before="120" w:after="120"/>
            </w:pPr>
            <w:r w:rsidRPr="001225DD">
              <w:t> </w:t>
            </w:r>
          </w:p>
        </w:tc>
        <w:tc>
          <w:tcPr>
            <w:tcW w:w="768" w:type="dxa"/>
            <w:hideMark/>
          </w:tcPr>
          <w:p w14:paraId="14313E8B" w14:textId="77777777" w:rsidR="005333E9" w:rsidRPr="001225DD" w:rsidRDefault="005333E9" w:rsidP="00AA2133">
            <w:pPr>
              <w:pStyle w:val="RepStandard"/>
              <w:spacing w:before="120" w:after="120"/>
            </w:pPr>
            <w:r w:rsidRPr="001225DD">
              <w:t> </w:t>
            </w:r>
          </w:p>
        </w:tc>
        <w:tc>
          <w:tcPr>
            <w:tcW w:w="767" w:type="dxa"/>
            <w:hideMark/>
          </w:tcPr>
          <w:p w14:paraId="403911CB" w14:textId="77777777" w:rsidR="005333E9" w:rsidRPr="001225DD" w:rsidRDefault="005333E9" w:rsidP="00AA2133">
            <w:pPr>
              <w:pStyle w:val="RepStandard"/>
              <w:spacing w:before="120" w:after="120"/>
            </w:pPr>
            <w:r w:rsidRPr="001225DD">
              <w:t> </w:t>
            </w:r>
          </w:p>
        </w:tc>
        <w:tc>
          <w:tcPr>
            <w:tcW w:w="767" w:type="dxa"/>
            <w:hideMark/>
          </w:tcPr>
          <w:p w14:paraId="686C7488" w14:textId="77777777" w:rsidR="005333E9" w:rsidRPr="001225DD" w:rsidRDefault="005333E9" w:rsidP="00AA2133">
            <w:pPr>
              <w:pStyle w:val="RepStandard"/>
              <w:spacing w:before="120" w:after="120"/>
            </w:pPr>
            <w:r w:rsidRPr="001225DD">
              <w:t> </w:t>
            </w:r>
          </w:p>
        </w:tc>
        <w:tc>
          <w:tcPr>
            <w:tcW w:w="768" w:type="dxa"/>
            <w:hideMark/>
          </w:tcPr>
          <w:p w14:paraId="23BF72CE" w14:textId="77777777" w:rsidR="005333E9" w:rsidRPr="001225DD" w:rsidRDefault="005333E9" w:rsidP="00AA2133">
            <w:pPr>
              <w:pStyle w:val="RepStandard"/>
              <w:spacing w:before="120" w:after="120"/>
            </w:pPr>
            <w:r w:rsidRPr="001225DD">
              <w:t> </w:t>
            </w:r>
          </w:p>
        </w:tc>
        <w:tc>
          <w:tcPr>
            <w:tcW w:w="767" w:type="dxa"/>
            <w:hideMark/>
          </w:tcPr>
          <w:p w14:paraId="02A403CF" w14:textId="77777777" w:rsidR="005333E9" w:rsidRPr="001225DD" w:rsidRDefault="005333E9" w:rsidP="00AA2133">
            <w:pPr>
              <w:pStyle w:val="RepStandard"/>
              <w:spacing w:before="120" w:after="120"/>
            </w:pPr>
            <w:r w:rsidRPr="001225DD">
              <w:t> </w:t>
            </w:r>
          </w:p>
        </w:tc>
        <w:tc>
          <w:tcPr>
            <w:tcW w:w="767" w:type="dxa"/>
            <w:hideMark/>
          </w:tcPr>
          <w:p w14:paraId="6932CDCD" w14:textId="77777777" w:rsidR="005333E9" w:rsidRPr="001225DD" w:rsidRDefault="005333E9" w:rsidP="00AA2133">
            <w:pPr>
              <w:pStyle w:val="RepStandard"/>
              <w:spacing w:before="120" w:after="120"/>
            </w:pPr>
            <w:r w:rsidRPr="001225DD">
              <w:t> </w:t>
            </w:r>
          </w:p>
        </w:tc>
        <w:tc>
          <w:tcPr>
            <w:tcW w:w="768" w:type="dxa"/>
            <w:hideMark/>
          </w:tcPr>
          <w:p w14:paraId="5D0E14C1" w14:textId="77777777" w:rsidR="005333E9" w:rsidRPr="001225DD" w:rsidRDefault="005333E9" w:rsidP="00AA2133">
            <w:pPr>
              <w:pStyle w:val="RepStandard"/>
              <w:spacing w:before="120" w:after="120"/>
            </w:pPr>
            <w:r w:rsidRPr="001225DD">
              <w:t> </w:t>
            </w:r>
          </w:p>
        </w:tc>
      </w:tr>
      <w:tr w:rsidR="005333E9" w:rsidRPr="001225DD" w14:paraId="52F9B6DF" w14:textId="77777777" w:rsidTr="000A4436">
        <w:trPr>
          <w:trHeight w:val="375"/>
        </w:trPr>
        <w:tc>
          <w:tcPr>
            <w:tcW w:w="988" w:type="dxa"/>
            <w:hideMark/>
          </w:tcPr>
          <w:p w14:paraId="0F001536" w14:textId="77777777" w:rsidR="005333E9" w:rsidRPr="001E5BD6" w:rsidRDefault="005333E9" w:rsidP="00AA2133">
            <w:pPr>
              <w:pStyle w:val="RepStandard"/>
              <w:spacing w:before="120" w:after="120"/>
              <w:rPr>
                <w:b/>
              </w:rPr>
            </w:pPr>
            <w:r w:rsidRPr="001E5BD6">
              <w:rPr>
                <w:b/>
              </w:rPr>
              <w:t>None</w:t>
            </w:r>
          </w:p>
        </w:tc>
        <w:tc>
          <w:tcPr>
            <w:tcW w:w="1168" w:type="dxa"/>
            <w:hideMark/>
          </w:tcPr>
          <w:p w14:paraId="113A6A26" w14:textId="77777777" w:rsidR="005333E9" w:rsidRPr="001E5BD6" w:rsidRDefault="005333E9" w:rsidP="00AA2133">
            <w:pPr>
              <w:pStyle w:val="RepStandard"/>
              <w:spacing w:before="120" w:after="120"/>
              <w:rPr>
                <w:b/>
              </w:rPr>
            </w:pPr>
            <w:r w:rsidRPr="001E5BD6">
              <w:rPr>
                <w:b/>
              </w:rPr>
              <w:t>R1 stream</w:t>
            </w:r>
          </w:p>
        </w:tc>
        <w:tc>
          <w:tcPr>
            <w:tcW w:w="816" w:type="dxa"/>
            <w:hideMark/>
          </w:tcPr>
          <w:p w14:paraId="0906F820" w14:textId="77777777" w:rsidR="005333E9" w:rsidRPr="001225DD" w:rsidRDefault="005333E9" w:rsidP="00AA2133">
            <w:pPr>
              <w:pStyle w:val="RepStandard"/>
              <w:spacing w:before="120" w:after="120"/>
            </w:pPr>
            <w:r w:rsidRPr="001225DD">
              <w:t> </w:t>
            </w:r>
          </w:p>
        </w:tc>
        <w:tc>
          <w:tcPr>
            <w:tcW w:w="718" w:type="dxa"/>
            <w:hideMark/>
          </w:tcPr>
          <w:p w14:paraId="6B6991C3" w14:textId="77777777" w:rsidR="005333E9" w:rsidRPr="001225DD" w:rsidRDefault="005333E9" w:rsidP="00AA2133">
            <w:pPr>
              <w:pStyle w:val="RepStandard"/>
              <w:spacing w:before="120" w:after="120"/>
            </w:pPr>
            <w:r w:rsidRPr="001225DD">
              <w:t> </w:t>
            </w:r>
          </w:p>
        </w:tc>
        <w:tc>
          <w:tcPr>
            <w:tcW w:w="768" w:type="dxa"/>
            <w:hideMark/>
          </w:tcPr>
          <w:p w14:paraId="4C09C355" w14:textId="77777777" w:rsidR="005333E9" w:rsidRPr="001225DD" w:rsidRDefault="005333E9" w:rsidP="00AA2133">
            <w:pPr>
              <w:pStyle w:val="RepStandard"/>
              <w:spacing w:before="120" w:after="120"/>
            </w:pPr>
            <w:r w:rsidRPr="001225DD">
              <w:t> </w:t>
            </w:r>
          </w:p>
        </w:tc>
        <w:tc>
          <w:tcPr>
            <w:tcW w:w="767" w:type="dxa"/>
            <w:hideMark/>
          </w:tcPr>
          <w:p w14:paraId="2D9769AC" w14:textId="77777777" w:rsidR="005333E9" w:rsidRPr="001225DD" w:rsidRDefault="005333E9" w:rsidP="00AA2133">
            <w:pPr>
              <w:pStyle w:val="RepStandard"/>
              <w:spacing w:before="120" w:after="120"/>
            </w:pPr>
            <w:r w:rsidRPr="001225DD">
              <w:t> </w:t>
            </w:r>
          </w:p>
        </w:tc>
        <w:tc>
          <w:tcPr>
            <w:tcW w:w="767" w:type="dxa"/>
            <w:hideMark/>
          </w:tcPr>
          <w:p w14:paraId="24BDC480" w14:textId="77777777" w:rsidR="005333E9" w:rsidRPr="001225DD" w:rsidRDefault="005333E9" w:rsidP="00AA2133">
            <w:pPr>
              <w:pStyle w:val="RepStandard"/>
              <w:spacing w:before="120" w:after="120"/>
            </w:pPr>
            <w:r w:rsidRPr="001225DD">
              <w:t> </w:t>
            </w:r>
          </w:p>
        </w:tc>
        <w:tc>
          <w:tcPr>
            <w:tcW w:w="768" w:type="dxa"/>
            <w:hideMark/>
          </w:tcPr>
          <w:p w14:paraId="1F283440" w14:textId="77777777" w:rsidR="005333E9" w:rsidRPr="001225DD" w:rsidRDefault="005333E9" w:rsidP="00AA2133">
            <w:pPr>
              <w:pStyle w:val="RepStandard"/>
              <w:spacing w:before="120" w:after="120"/>
            </w:pPr>
            <w:r w:rsidRPr="001225DD">
              <w:t> </w:t>
            </w:r>
          </w:p>
        </w:tc>
        <w:tc>
          <w:tcPr>
            <w:tcW w:w="767" w:type="dxa"/>
            <w:hideMark/>
          </w:tcPr>
          <w:p w14:paraId="6469353E" w14:textId="77777777" w:rsidR="005333E9" w:rsidRPr="001225DD" w:rsidRDefault="005333E9" w:rsidP="00AA2133">
            <w:pPr>
              <w:pStyle w:val="RepStandard"/>
              <w:spacing w:before="120" w:after="120"/>
            </w:pPr>
            <w:r w:rsidRPr="001225DD">
              <w:t> </w:t>
            </w:r>
          </w:p>
        </w:tc>
        <w:tc>
          <w:tcPr>
            <w:tcW w:w="767" w:type="dxa"/>
            <w:hideMark/>
          </w:tcPr>
          <w:p w14:paraId="332C7BFE" w14:textId="77777777" w:rsidR="005333E9" w:rsidRPr="001225DD" w:rsidRDefault="005333E9" w:rsidP="00AA2133">
            <w:pPr>
              <w:pStyle w:val="RepStandard"/>
              <w:spacing w:before="120" w:after="120"/>
            </w:pPr>
            <w:r w:rsidRPr="001225DD">
              <w:t> </w:t>
            </w:r>
          </w:p>
        </w:tc>
        <w:tc>
          <w:tcPr>
            <w:tcW w:w="768" w:type="dxa"/>
            <w:hideMark/>
          </w:tcPr>
          <w:p w14:paraId="4C9D8B66" w14:textId="77777777" w:rsidR="005333E9" w:rsidRPr="001225DD" w:rsidRDefault="005333E9" w:rsidP="00AA2133">
            <w:pPr>
              <w:pStyle w:val="RepStandard"/>
              <w:spacing w:before="120" w:after="120"/>
            </w:pPr>
            <w:r w:rsidRPr="001225DD">
              <w:t> </w:t>
            </w:r>
          </w:p>
        </w:tc>
      </w:tr>
      <w:tr w:rsidR="005333E9" w:rsidRPr="001225DD" w14:paraId="176D9D41" w14:textId="77777777" w:rsidTr="000A4436">
        <w:trPr>
          <w:trHeight w:val="375"/>
        </w:trPr>
        <w:tc>
          <w:tcPr>
            <w:tcW w:w="988" w:type="dxa"/>
            <w:hideMark/>
          </w:tcPr>
          <w:p w14:paraId="50E97BA7" w14:textId="77777777" w:rsidR="005333E9" w:rsidRPr="001E5BD6" w:rsidRDefault="005333E9" w:rsidP="00AA2133">
            <w:pPr>
              <w:pStyle w:val="RepStandard"/>
              <w:spacing w:before="120" w:after="120"/>
              <w:rPr>
                <w:b/>
              </w:rPr>
            </w:pPr>
            <w:r w:rsidRPr="001E5BD6">
              <w:rPr>
                <w:b/>
              </w:rPr>
              <w:t>50%</w:t>
            </w:r>
          </w:p>
        </w:tc>
        <w:tc>
          <w:tcPr>
            <w:tcW w:w="1168" w:type="dxa"/>
            <w:hideMark/>
          </w:tcPr>
          <w:p w14:paraId="28398C10" w14:textId="77777777" w:rsidR="005333E9" w:rsidRPr="001E5BD6" w:rsidRDefault="005333E9" w:rsidP="00AA2133">
            <w:pPr>
              <w:pStyle w:val="RepStandard"/>
              <w:spacing w:before="120" w:after="120"/>
              <w:rPr>
                <w:b/>
              </w:rPr>
            </w:pPr>
            <w:r w:rsidRPr="001E5BD6">
              <w:rPr>
                <w:b/>
              </w:rPr>
              <w:t> </w:t>
            </w:r>
          </w:p>
        </w:tc>
        <w:tc>
          <w:tcPr>
            <w:tcW w:w="816" w:type="dxa"/>
            <w:hideMark/>
          </w:tcPr>
          <w:p w14:paraId="42BF05D9" w14:textId="77777777" w:rsidR="005333E9" w:rsidRPr="001225DD" w:rsidRDefault="005333E9" w:rsidP="00AA2133">
            <w:pPr>
              <w:pStyle w:val="RepStandard"/>
              <w:spacing w:before="120" w:after="120"/>
            </w:pPr>
            <w:r w:rsidRPr="001225DD">
              <w:t> </w:t>
            </w:r>
          </w:p>
        </w:tc>
        <w:tc>
          <w:tcPr>
            <w:tcW w:w="718" w:type="dxa"/>
            <w:hideMark/>
          </w:tcPr>
          <w:p w14:paraId="35502CFA" w14:textId="77777777" w:rsidR="005333E9" w:rsidRPr="001225DD" w:rsidRDefault="005333E9" w:rsidP="00AA2133">
            <w:pPr>
              <w:pStyle w:val="RepStandard"/>
              <w:spacing w:before="120" w:after="120"/>
            </w:pPr>
            <w:r w:rsidRPr="001225DD">
              <w:t> </w:t>
            </w:r>
          </w:p>
        </w:tc>
        <w:tc>
          <w:tcPr>
            <w:tcW w:w="768" w:type="dxa"/>
            <w:hideMark/>
          </w:tcPr>
          <w:p w14:paraId="5FDA2FCF" w14:textId="77777777" w:rsidR="005333E9" w:rsidRPr="001225DD" w:rsidRDefault="005333E9" w:rsidP="00AA2133">
            <w:pPr>
              <w:pStyle w:val="RepStandard"/>
              <w:spacing w:before="120" w:after="120"/>
            </w:pPr>
            <w:r w:rsidRPr="001225DD">
              <w:t> </w:t>
            </w:r>
          </w:p>
        </w:tc>
        <w:tc>
          <w:tcPr>
            <w:tcW w:w="767" w:type="dxa"/>
            <w:hideMark/>
          </w:tcPr>
          <w:p w14:paraId="506912DB" w14:textId="77777777" w:rsidR="005333E9" w:rsidRPr="001225DD" w:rsidRDefault="005333E9" w:rsidP="00AA2133">
            <w:pPr>
              <w:pStyle w:val="RepStandard"/>
              <w:spacing w:before="120" w:after="120"/>
            </w:pPr>
            <w:r w:rsidRPr="001225DD">
              <w:t> </w:t>
            </w:r>
          </w:p>
        </w:tc>
        <w:tc>
          <w:tcPr>
            <w:tcW w:w="767" w:type="dxa"/>
            <w:hideMark/>
          </w:tcPr>
          <w:p w14:paraId="6A0542A8" w14:textId="77777777" w:rsidR="005333E9" w:rsidRPr="001225DD" w:rsidRDefault="005333E9" w:rsidP="00AA2133">
            <w:pPr>
              <w:pStyle w:val="RepStandard"/>
              <w:spacing w:before="120" w:after="120"/>
            </w:pPr>
            <w:r w:rsidRPr="001225DD">
              <w:t> </w:t>
            </w:r>
          </w:p>
        </w:tc>
        <w:tc>
          <w:tcPr>
            <w:tcW w:w="768" w:type="dxa"/>
            <w:hideMark/>
          </w:tcPr>
          <w:p w14:paraId="66DB24D5" w14:textId="77777777" w:rsidR="005333E9" w:rsidRPr="001225DD" w:rsidRDefault="005333E9" w:rsidP="00AA2133">
            <w:pPr>
              <w:pStyle w:val="RepStandard"/>
              <w:spacing w:before="120" w:after="120"/>
            </w:pPr>
            <w:r w:rsidRPr="001225DD">
              <w:t> </w:t>
            </w:r>
          </w:p>
        </w:tc>
        <w:tc>
          <w:tcPr>
            <w:tcW w:w="767" w:type="dxa"/>
            <w:hideMark/>
          </w:tcPr>
          <w:p w14:paraId="0020FE9D" w14:textId="77777777" w:rsidR="005333E9" w:rsidRPr="001225DD" w:rsidRDefault="005333E9" w:rsidP="00AA2133">
            <w:pPr>
              <w:pStyle w:val="RepStandard"/>
              <w:spacing w:before="120" w:after="120"/>
            </w:pPr>
            <w:r w:rsidRPr="001225DD">
              <w:t> </w:t>
            </w:r>
          </w:p>
        </w:tc>
        <w:tc>
          <w:tcPr>
            <w:tcW w:w="767" w:type="dxa"/>
            <w:hideMark/>
          </w:tcPr>
          <w:p w14:paraId="0CD46A7C" w14:textId="77777777" w:rsidR="005333E9" w:rsidRPr="001225DD" w:rsidRDefault="005333E9" w:rsidP="00AA2133">
            <w:pPr>
              <w:pStyle w:val="RepStandard"/>
              <w:spacing w:before="120" w:after="120"/>
            </w:pPr>
            <w:r w:rsidRPr="001225DD">
              <w:t> </w:t>
            </w:r>
          </w:p>
        </w:tc>
        <w:tc>
          <w:tcPr>
            <w:tcW w:w="768" w:type="dxa"/>
            <w:hideMark/>
          </w:tcPr>
          <w:p w14:paraId="4C05D949" w14:textId="77777777" w:rsidR="005333E9" w:rsidRPr="001225DD" w:rsidRDefault="005333E9" w:rsidP="00AA2133">
            <w:pPr>
              <w:pStyle w:val="RepStandard"/>
              <w:spacing w:before="120" w:after="120"/>
            </w:pPr>
            <w:r w:rsidRPr="001225DD">
              <w:t> </w:t>
            </w:r>
          </w:p>
        </w:tc>
      </w:tr>
      <w:tr w:rsidR="005333E9" w:rsidRPr="001225DD" w14:paraId="1E7A8DA3" w14:textId="77777777" w:rsidTr="000A4436">
        <w:trPr>
          <w:trHeight w:val="375"/>
        </w:trPr>
        <w:tc>
          <w:tcPr>
            <w:tcW w:w="988" w:type="dxa"/>
            <w:hideMark/>
          </w:tcPr>
          <w:p w14:paraId="633685B3" w14:textId="77777777" w:rsidR="005333E9" w:rsidRPr="001E5BD6" w:rsidRDefault="005333E9" w:rsidP="00AA2133">
            <w:pPr>
              <w:pStyle w:val="RepStandard"/>
              <w:spacing w:before="120" w:after="120"/>
              <w:rPr>
                <w:b/>
              </w:rPr>
            </w:pPr>
            <w:r w:rsidRPr="001E5BD6">
              <w:rPr>
                <w:b/>
              </w:rPr>
              <w:t>75%</w:t>
            </w:r>
          </w:p>
        </w:tc>
        <w:tc>
          <w:tcPr>
            <w:tcW w:w="1168" w:type="dxa"/>
            <w:hideMark/>
          </w:tcPr>
          <w:p w14:paraId="3DB421FB" w14:textId="77777777" w:rsidR="005333E9" w:rsidRPr="001E5BD6" w:rsidRDefault="005333E9" w:rsidP="00AA2133">
            <w:pPr>
              <w:pStyle w:val="RepStandard"/>
              <w:spacing w:before="120" w:after="120"/>
              <w:rPr>
                <w:b/>
              </w:rPr>
            </w:pPr>
            <w:r w:rsidRPr="001E5BD6">
              <w:rPr>
                <w:b/>
              </w:rPr>
              <w:t> </w:t>
            </w:r>
          </w:p>
        </w:tc>
        <w:tc>
          <w:tcPr>
            <w:tcW w:w="816" w:type="dxa"/>
            <w:hideMark/>
          </w:tcPr>
          <w:p w14:paraId="428880FC" w14:textId="77777777" w:rsidR="005333E9" w:rsidRPr="001225DD" w:rsidRDefault="005333E9" w:rsidP="00AA2133">
            <w:pPr>
              <w:pStyle w:val="RepStandard"/>
              <w:spacing w:before="120" w:after="120"/>
            </w:pPr>
            <w:r w:rsidRPr="001225DD">
              <w:t> </w:t>
            </w:r>
          </w:p>
        </w:tc>
        <w:tc>
          <w:tcPr>
            <w:tcW w:w="718" w:type="dxa"/>
            <w:hideMark/>
          </w:tcPr>
          <w:p w14:paraId="09C9257B" w14:textId="77777777" w:rsidR="005333E9" w:rsidRPr="001225DD" w:rsidRDefault="005333E9" w:rsidP="00AA2133">
            <w:pPr>
              <w:pStyle w:val="RepStandard"/>
              <w:spacing w:before="120" w:after="120"/>
            </w:pPr>
            <w:r w:rsidRPr="001225DD">
              <w:t> </w:t>
            </w:r>
          </w:p>
        </w:tc>
        <w:tc>
          <w:tcPr>
            <w:tcW w:w="768" w:type="dxa"/>
            <w:hideMark/>
          </w:tcPr>
          <w:p w14:paraId="04AFA2AC" w14:textId="77777777" w:rsidR="005333E9" w:rsidRPr="001225DD" w:rsidRDefault="005333E9" w:rsidP="00AA2133">
            <w:pPr>
              <w:pStyle w:val="RepStandard"/>
              <w:spacing w:before="120" w:after="120"/>
            </w:pPr>
            <w:r w:rsidRPr="001225DD">
              <w:t> </w:t>
            </w:r>
          </w:p>
        </w:tc>
        <w:tc>
          <w:tcPr>
            <w:tcW w:w="767" w:type="dxa"/>
            <w:hideMark/>
          </w:tcPr>
          <w:p w14:paraId="610062CB" w14:textId="77777777" w:rsidR="005333E9" w:rsidRPr="001225DD" w:rsidRDefault="005333E9" w:rsidP="00AA2133">
            <w:pPr>
              <w:pStyle w:val="RepStandard"/>
              <w:spacing w:before="120" w:after="120"/>
            </w:pPr>
            <w:r w:rsidRPr="001225DD">
              <w:t> </w:t>
            </w:r>
          </w:p>
        </w:tc>
        <w:tc>
          <w:tcPr>
            <w:tcW w:w="767" w:type="dxa"/>
            <w:hideMark/>
          </w:tcPr>
          <w:p w14:paraId="66DAFC6E" w14:textId="77777777" w:rsidR="005333E9" w:rsidRPr="001225DD" w:rsidRDefault="005333E9" w:rsidP="00AA2133">
            <w:pPr>
              <w:pStyle w:val="RepStandard"/>
              <w:spacing w:before="120" w:after="120"/>
            </w:pPr>
            <w:r w:rsidRPr="001225DD">
              <w:t> </w:t>
            </w:r>
          </w:p>
        </w:tc>
        <w:tc>
          <w:tcPr>
            <w:tcW w:w="768" w:type="dxa"/>
            <w:hideMark/>
          </w:tcPr>
          <w:p w14:paraId="7A12FD5F" w14:textId="77777777" w:rsidR="005333E9" w:rsidRPr="001225DD" w:rsidRDefault="005333E9" w:rsidP="00AA2133">
            <w:pPr>
              <w:pStyle w:val="RepStandard"/>
              <w:spacing w:before="120" w:after="120"/>
            </w:pPr>
            <w:r w:rsidRPr="001225DD">
              <w:t> </w:t>
            </w:r>
          </w:p>
        </w:tc>
        <w:tc>
          <w:tcPr>
            <w:tcW w:w="767" w:type="dxa"/>
            <w:hideMark/>
          </w:tcPr>
          <w:p w14:paraId="458F178D" w14:textId="77777777" w:rsidR="005333E9" w:rsidRPr="001225DD" w:rsidRDefault="005333E9" w:rsidP="00AA2133">
            <w:pPr>
              <w:pStyle w:val="RepStandard"/>
              <w:spacing w:before="120" w:after="120"/>
            </w:pPr>
            <w:r w:rsidRPr="001225DD">
              <w:t> </w:t>
            </w:r>
          </w:p>
        </w:tc>
        <w:tc>
          <w:tcPr>
            <w:tcW w:w="767" w:type="dxa"/>
            <w:hideMark/>
          </w:tcPr>
          <w:p w14:paraId="1D8767BF" w14:textId="77777777" w:rsidR="005333E9" w:rsidRPr="001225DD" w:rsidRDefault="005333E9" w:rsidP="00AA2133">
            <w:pPr>
              <w:pStyle w:val="RepStandard"/>
              <w:spacing w:before="120" w:after="120"/>
            </w:pPr>
            <w:r w:rsidRPr="001225DD">
              <w:t> </w:t>
            </w:r>
          </w:p>
        </w:tc>
        <w:tc>
          <w:tcPr>
            <w:tcW w:w="768" w:type="dxa"/>
            <w:hideMark/>
          </w:tcPr>
          <w:p w14:paraId="6EA3D6F6" w14:textId="77777777" w:rsidR="005333E9" w:rsidRPr="001225DD" w:rsidRDefault="005333E9" w:rsidP="00AA2133">
            <w:pPr>
              <w:pStyle w:val="RepStandard"/>
              <w:spacing w:before="120" w:after="120"/>
            </w:pPr>
            <w:r w:rsidRPr="001225DD">
              <w:t> </w:t>
            </w:r>
          </w:p>
        </w:tc>
      </w:tr>
      <w:tr w:rsidR="005333E9" w:rsidRPr="001225DD" w14:paraId="0C6EBFBA" w14:textId="77777777" w:rsidTr="000A4436">
        <w:trPr>
          <w:trHeight w:val="375"/>
        </w:trPr>
        <w:tc>
          <w:tcPr>
            <w:tcW w:w="988" w:type="dxa"/>
            <w:hideMark/>
          </w:tcPr>
          <w:p w14:paraId="5E9859D7" w14:textId="77777777" w:rsidR="005333E9" w:rsidRPr="001E5BD6" w:rsidRDefault="005333E9" w:rsidP="00AA2133">
            <w:pPr>
              <w:pStyle w:val="RepStandard"/>
              <w:spacing w:before="120" w:after="120"/>
              <w:rPr>
                <w:b/>
              </w:rPr>
            </w:pPr>
            <w:r w:rsidRPr="001E5BD6">
              <w:rPr>
                <w:b/>
              </w:rPr>
              <w:t>90%</w:t>
            </w:r>
          </w:p>
        </w:tc>
        <w:tc>
          <w:tcPr>
            <w:tcW w:w="1168" w:type="dxa"/>
            <w:hideMark/>
          </w:tcPr>
          <w:p w14:paraId="15BB6CB8" w14:textId="77777777" w:rsidR="005333E9" w:rsidRPr="001E5BD6" w:rsidRDefault="005333E9" w:rsidP="00AA2133">
            <w:pPr>
              <w:pStyle w:val="RepStandard"/>
              <w:spacing w:before="120" w:after="120"/>
              <w:rPr>
                <w:b/>
              </w:rPr>
            </w:pPr>
            <w:r w:rsidRPr="001E5BD6">
              <w:rPr>
                <w:b/>
              </w:rPr>
              <w:t> </w:t>
            </w:r>
          </w:p>
        </w:tc>
        <w:tc>
          <w:tcPr>
            <w:tcW w:w="816" w:type="dxa"/>
            <w:hideMark/>
          </w:tcPr>
          <w:p w14:paraId="524679A1" w14:textId="77777777" w:rsidR="005333E9" w:rsidRPr="001225DD" w:rsidRDefault="005333E9" w:rsidP="00AA2133">
            <w:pPr>
              <w:pStyle w:val="RepStandard"/>
              <w:spacing w:before="120" w:after="120"/>
            </w:pPr>
            <w:r w:rsidRPr="001225DD">
              <w:t> </w:t>
            </w:r>
          </w:p>
        </w:tc>
        <w:tc>
          <w:tcPr>
            <w:tcW w:w="718" w:type="dxa"/>
            <w:hideMark/>
          </w:tcPr>
          <w:p w14:paraId="74B4E476" w14:textId="77777777" w:rsidR="005333E9" w:rsidRPr="001225DD" w:rsidRDefault="005333E9" w:rsidP="00AA2133">
            <w:pPr>
              <w:pStyle w:val="RepStandard"/>
              <w:spacing w:before="120" w:after="120"/>
            </w:pPr>
            <w:r w:rsidRPr="001225DD">
              <w:t> </w:t>
            </w:r>
          </w:p>
        </w:tc>
        <w:tc>
          <w:tcPr>
            <w:tcW w:w="768" w:type="dxa"/>
            <w:hideMark/>
          </w:tcPr>
          <w:p w14:paraId="5AAD6DF0" w14:textId="77777777" w:rsidR="005333E9" w:rsidRPr="001225DD" w:rsidRDefault="005333E9" w:rsidP="00AA2133">
            <w:pPr>
              <w:pStyle w:val="RepStandard"/>
              <w:spacing w:before="120" w:after="120"/>
            </w:pPr>
            <w:r w:rsidRPr="001225DD">
              <w:t> </w:t>
            </w:r>
          </w:p>
        </w:tc>
        <w:tc>
          <w:tcPr>
            <w:tcW w:w="767" w:type="dxa"/>
            <w:hideMark/>
          </w:tcPr>
          <w:p w14:paraId="4A5F7FC1" w14:textId="77777777" w:rsidR="005333E9" w:rsidRPr="001225DD" w:rsidRDefault="005333E9" w:rsidP="00AA2133">
            <w:pPr>
              <w:pStyle w:val="RepStandard"/>
              <w:spacing w:before="120" w:after="120"/>
            </w:pPr>
            <w:r w:rsidRPr="001225DD">
              <w:t> </w:t>
            </w:r>
          </w:p>
        </w:tc>
        <w:tc>
          <w:tcPr>
            <w:tcW w:w="767" w:type="dxa"/>
            <w:hideMark/>
          </w:tcPr>
          <w:p w14:paraId="4CB4FAB6" w14:textId="77777777" w:rsidR="005333E9" w:rsidRPr="001225DD" w:rsidRDefault="005333E9" w:rsidP="00AA2133">
            <w:pPr>
              <w:pStyle w:val="RepStandard"/>
              <w:spacing w:before="120" w:after="120"/>
            </w:pPr>
            <w:r w:rsidRPr="001225DD">
              <w:t> </w:t>
            </w:r>
          </w:p>
        </w:tc>
        <w:tc>
          <w:tcPr>
            <w:tcW w:w="768" w:type="dxa"/>
            <w:hideMark/>
          </w:tcPr>
          <w:p w14:paraId="5602EBA9" w14:textId="77777777" w:rsidR="005333E9" w:rsidRPr="001225DD" w:rsidRDefault="005333E9" w:rsidP="00AA2133">
            <w:pPr>
              <w:pStyle w:val="RepStandard"/>
              <w:spacing w:before="120" w:after="120"/>
            </w:pPr>
            <w:r w:rsidRPr="001225DD">
              <w:t> </w:t>
            </w:r>
          </w:p>
        </w:tc>
        <w:tc>
          <w:tcPr>
            <w:tcW w:w="767" w:type="dxa"/>
            <w:hideMark/>
          </w:tcPr>
          <w:p w14:paraId="4917A08A" w14:textId="77777777" w:rsidR="005333E9" w:rsidRPr="001225DD" w:rsidRDefault="005333E9" w:rsidP="00AA2133">
            <w:pPr>
              <w:pStyle w:val="RepStandard"/>
              <w:spacing w:before="120" w:after="120"/>
            </w:pPr>
            <w:r w:rsidRPr="001225DD">
              <w:t> </w:t>
            </w:r>
          </w:p>
        </w:tc>
        <w:tc>
          <w:tcPr>
            <w:tcW w:w="767" w:type="dxa"/>
            <w:hideMark/>
          </w:tcPr>
          <w:p w14:paraId="2A76A86C" w14:textId="77777777" w:rsidR="005333E9" w:rsidRPr="001225DD" w:rsidRDefault="005333E9" w:rsidP="00AA2133">
            <w:pPr>
              <w:pStyle w:val="RepStandard"/>
              <w:spacing w:before="120" w:after="120"/>
            </w:pPr>
            <w:r w:rsidRPr="001225DD">
              <w:t> </w:t>
            </w:r>
          </w:p>
        </w:tc>
        <w:tc>
          <w:tcPr>
            <w:tcW w:w="768" w:type="dxa"/>
            <w:hideMark/>
          </w:tcPr>
          <w:p w14:paraId="25280C5B" w14:textId="77777777" w:rsidR="005333E9" w:rsidRPr="001225DD" w:rsidRDefault="005333E9" w:rsidP="00AA2133">
            <w:pPr>
              <w:pStyle w:val="RepStandard"/>
              <w:spacing w:before="120" w:after="120"/>
            </w:pPr>
            <w:r w:rsidRPr="001225DD">
              <w:t> </w:t>
            </w:r>
          </w:p>
        </w:tc>
      </w:tr>
      <w:tr w:rsidR="005333E9" w:rsidRPr="001225DD" w14:paraId="03F9926E" w14:textId="77777777" w:rsidTr="000A4436">
        <w:trPr>
          <w:trHeight w:val="375"/>
        </w:trPr>
        <w:tc>
          <w:tcPr>
            <w:tcW w:w="988" w:type="dxa"/>
            <w:hideMark/>
          </w:tcPr>
          <w:p w14:paraId="0FBDECAF" w14:textId="77777777" w:rsidR="005333E9" w:rsidRPr="001E5BD6" w:rsidRDefault="005333E9" w:rsidP="00AA2133">
            <w:pPr>
              <w:pStyle w:val="RepStandard"/>
              <w:spacing w:before="120" w:after="120"/>
              <w:rPr>
                <w:b/>
              </w:rPr>
            </w:pPr>
            <w:r w:rsidRPr="001E5BD6">
              <w:rPr>
                <w:b/>
              </w:rPr>
              <w:t>None</w:t>
            </w:r>
          </w:p>
        </w:tc>
        <w:tc>
          <w:tcPr>
            <w:tcW w:w="1168" w:type="dxa"/>
            <w:hideMark/>
          </w:tcPr>
          <w:p w14:paraId="042DAC33" w14:textId="77777777" w:rsidR="005333E9" w:rsidRPr="001E5BD6" w:rsidRDefault="005333E9" w:rsidP="00AA2133">
            <w:pPr>
              <w:pStyle w:val="RepStandard"/>
              <w:spacing w:before="120" w:after="120"/>
              <w:rPr>
                <w:b/>
              </w:rPr>
            </w:pPr>
            <w:r w:rsidRPr="001E5BD6">
              <w:rPr>
                <w:b/>
              </w:rPr>
              <w:t>R2 stream</w:t>
            </w:r>
          </w:p>
        </w:tc>
        <w:tc>
          <w:tcPr>
            <w:tcW w:w="816" w:type="dxa"/>
            <w:hideMark/>
          </w:tcPr>
          <w:p w14:paraId="6733E3F6" w14:textId="77777777" w:rsidR="005333E9" w:rsidRPr="001225DD" w:rsidRDefault="005333E9" w:rsidP="00AA2133">
            <w:pPr>
              <w:pStyle w:val="RepStandard"/>
              <w:spacing w:before="120" w:after="120"/>
            </w:pPr>
            <w:r w:rsidRPr="001225DD">
              <w:t> </w:t>
            </w:r>
          </w:p>
        </w:tc>
        <w:tc>
          <w:tcPr>
            <w:tcW w:w="718" w:type="dxa"/>
            <w:hideMark/>
          </w:tcPr>
          <w:p w14:paraId="4CBD407D" w14:textId="77777777" w:rsidR="005333E9" w:rsidRPr="001225DD" w:rsidRDefault="005333E9" w:rsidP="00AA2133">
            <w:pPr>
              <w:pStyle w:val="RepStandard"/>
              <w:spacing w:before="120" w:after="120"/>
            </w:pPr>
            <w:r w:rsidRPr="001225DD">
              <w:t> </w:t>
            </w:r>
          </w:p>
        </w:tc>
        <w:tc>
          <w:tcPr>
            <w:tcW w:w="768" w:type="dxa"/>
            <w:hideMark/>
          </w:tcPr>
          <w:p w14:paraId="135FD960" w14:textId="77777777" w:rsidR="005333E9" w:rsidRPr="001225DD" w:rsidRDefault="005333E9" w:rsidP="00AA2133">
            <w:pPr>
              <w:pStyle w:val="RepStandard"/>
              <w:spacing w:before="120" w:after="120"/>
            </w:pPr>
            <w:r w:rsidRPr="001225DD">
              <w:t> </w:t>
            </w:r>
          </w:p>
        </w:tc>
        <w:tc>
          <w:tcPr>
            <w:tcW w:w="767" w:type="dxa"/>
            <w:hideMark/>
          </w:tcPr>
          <w:p w14:paraId="5F22E2CF" w14:textId="77777777" w:rsidR="005333E9" w:rsidRPr="001225DD" w:rsidRDefault="005333E9" w:rsidP="00AA2133">
            <w:pPr>
              <w:pStyle w:val="RepStandard"/>
              <w:spacing w:before="120" w:after="120"/>
            </w:pPr>
            <w:r w:rsidRPr="001225DD">
              <w:t> </w:t>
            </w:r>
          </w:p>
        </w:tc>
        <w:tc>
          <w:tcPr>
            <w:tcW w:w="767" w:type="dxa"/>
            <w:hideMark/>
          </w:tcPr>
          <w:p w14:paraId="5863FC1C" w14:textId="77777777" w:rsidR="005333E9" w:rsidRPr="001225DD" w:rsidRDefault="005333E9" w:rsidP="00AA2133">
            <w:pPr>
              <w:pStyle w:val="RepStandard"/>
              <w:spacing w:before="120" w:after="120"/>
            </w:pPr>
            <w:r w:rsidRPr="001225DD">
              <w:t> </w:t>
            </w:r>
          </w:p>
        </w:tc>
        <w:tc>
          <w:tcPr>
            <w:tcW w:w="768" w:type="dxa"/>
            <w:hideMark/>
          </w:tcPr>
          <w:p w14:paraId="0ECBA101" w14:textId="77777777" w:rsidR="005333E9" w:rsidRPr="001225DD" w:rsidRDefault="005333E9" w:rsidP="00AA2133">
            <w:pPr>
              <w:pStyle w:val="RepStandard"/>
              <w:spacing w:before="120" w:after="120"/>
            </w:pPr>
            <w:r w:rsidRPr="001225DD">
              <w:t> </w:t>
            </w:r>
          </w:p>
        </w:tc>
        <w:tc>
          <w:tcPr>
            <w:tcW w:w="767" w:type="dxa"/>
            <w:hideMark/>
          </w:tcPr>
          <w:p w14:paraId="34EC6D3E" w14:textId="77777777" w:rsidR="005333E9" w:rsidRPr="001225DD" w:rsidRDefault="005333E9" w:rsidP="00AA2133">
            <w:pPr>
              <w:pStyle w:val="RepStandard"/>
              <w:spacing w:before="120" w:after="120"/>
            </w:pPr>
            <w:r w:rsidRPr="001225DD">
              <w:t> </w:t>
            </w:r>
          </w:p>
        </w:tc>
        <w:tc>
          <w:tcPr>
            <w:tcW w:w="767" w:type="dxa"/>
            <w:hideMark/>
          </w:tcPr>
          <w:p w14:paraId="6D27C11B" w14:textId="77777777" w:rsidR="005333E9" w:rsidRPr="001225DD" w:rsidRDefault="005333E9" w:rsidP="00AA2133">
            <w:pPr>
              <w:pStyle w:val="RepStandard"/>
              <w:spacing w:before="120" w:after="120"/>
            </w:pPr>
            <w:r w:rsidRPr="001225DD">
              <w:t> </w:t>
            </w:r>
          </w:p>
        </w:tc>
        <w:tc>
          <w:tcPr>
            <w:tcW w:w="768" w:type="dxa"/>
            <w:hideMark/>
          </w:tcPr>
          <w:p w14:paraId="292823FE" w14:textId="77777777" w:rsidR="005333E9" w:rsidRPr="001225DD" w:rsidRDefault="005333E9" w:rsidP="00AA2133">
            <w:pPr>
              <w:pStyle w:val="RepStandard"/>
              <w:spacing w:before="120" w:after="120"/>
            </w:pPr>
            <w:r w:rsidRPr="001225DD">
              <w:t> </w:t>
            </w:r>
          </w:p>
        </w:tc>
      </w:tr>
      <w:tr w:rsidR="005333E9" w:rsidRPr="001225DD" w14:paraId="597A17C5" w14:textId="77777777" w:rsidTr="000A4436">
        <w:trPr>
          <w:trHeight w:val="375"/>
        </w:trPr>
        <w:tc>
          <w:tcPr>
            <w:tcW w:w="988" w:type="dxa"/>
            <w:hideMark/>
          </w:tcPr>
          <w:p w14:paraId="1873408F" w14:textId="77777777" w:rsidR="005333E9" w:rsidRPr="001E5BD6" w:rsidRDefault="005333E9" w:rsidP="00AA2133">
            <w:pPr>
              <w:pStyle w:val="RepStandard"/>
              <w:spacing w:before="120" w:after="120"/>
              <w:rPr>
                <w:b/>
              </w:rPr>
            </w:pPr>
            <w:r w:rsidRPr="001E5BD6">
              <w:rPr>
                <w:b/>
              </w:rPr>
              <w:t>50%</w:t>
            </w:r>
          </w:p>
        </w:tc>
        <w:tc>
          <w:tcPr>
            <w:tcW w:w="1168" w:type="dxa"/>
            <w:hideMark/>
          </w:tcPr>
          <w:p w14:paraId="18806313" w14:textId="77777777" w:rsidR="005333E9" w:rsidRPr="001E5BD6" w:rsidRDefault="005333E9" w:rsidP="00AA2133">
            <w:pPr>
              <w:pStyle w:val="RepStandard"/>
              <w:spacing w:before="120" w:after="120"/>
              <w:rPr>
                <w:b/>
              </w:rPr>
            </w:pPr>
            <w:r w:rsidRPr="001E5BD6">
              <w:rPr>
                <w:b/>
              </w:rPr>
              <w:t> </w:t>
            </w:r>
          </w:p>
        </w:tc>
        <w:tc>
          <w:tcPr>
            <w:tcW w:w="816" w:type="dxa"/>
            <w:hideMark/>
          </w:tcPr>
          <w:p w14:paraId="1065A16D" w14:textId="77777777" w:rsidR="005333E9" w:rsidRPr="001225DD" w:rsidRDefault="005333E9" w:rsidP="00AA2133">
            <w:pPr>
              <w:pStyle w:val="RepStandard"/>
              <w:spacing w:before="120" w:after="120"/>
            </w:pPr>
            <w:r w:rsidRPr="001225DD">
              <w:t> </w:t>
            </w:r>
          </w:p>
        </w:tc>
        <w:tc>
          <w:tcPr>
            <w:tcW w:w="718" w:type="dxa"/>
            <w:hideMark/>
          </w:tcPr>
          <w:p w14:paraId="25EE9E0D" w14:textId="77777777" w:rsidR="005333E9" w:rsidRPr="001225DD" w:rsidRDefault="005333E9" w:rsidP="00AA2133">
            <w:pPr>
              <w:pStyle w:val="RepStandard"/>
              <w:spacing w:before="120" w:after="120"/>
            </w:pPr>
            <w:r w:rsidRPr="001225DD">
              <w:t> </w:t>
            </w:r>
          </w:p>
        </w:tc>
        <w:tc>
          <w:tcPr>
            <w:tcW w:w="768" w:type="dxa"/>
            <w:hideMark/>
          </w:tcPr>
          <w:p w14:paraId="4E322F30" w14:textId="77777777" w:rsidR="005333E9" w:rsidRPr="001225DD" w:rsidRDefault="005333E9" w:rsidP="00AA2133">
            <w:pPr>
              <w:pStyle w:val="RepStandard"/>
              <w:spacing w:before="120" w:after="120"/>
            </w:pPr>
            <w:r w:rsidRPr="001225DD">
              <w:t> </w:t>
            </w:r>
          </w:p>
        </w:tc>
        <w:tc>
          <w:tcPr>
            <w:tcW w:w="767" w:type="dxa"/>
            <w:hideMark/>
          </w:tcPr>
          <w:p w14:paraId="764935CD" w14:textId="77777777" w:rsidR="005333E9" w:rsidRPr="001225DD" w:rsidRDefault="005333E9" w:rsidP="00AA2133">
            <w:pPr>
              <w:pStyle w:val="RepStandard"/>
              <w:spacing w:before="120" w:after="120"/>
            </w:pPr>
            <w:r w:rsidRPr="001225DD">
              <w:t> </w:t>
            </w:r>
          </w:p>
        </w:tc>
        <w:tc>
          <w:tcPr>
            <w:tcW w:w="767" w:type="dxa"/>
            <w:hideMark/>
          </w:tcPr>
          <w:p w14:paraId="71A1F2DB" w14:textId="77777777" w:rsidR="005333E9" w:rsidRPr="001225DD" w:rsidRDefault="005333E9" w:rsidP="00AA2133">
            <w:pPr>
              <w:pStyle w:val="RepStandard"/>
              <w:spacing w:before="120" w:after="120"/>
            </w:pPr>
            <w:r w:rsidRPr="001225DD">
              <w:t> </w:t>
            </w:r>
          </w:p>
        </w:tc>
        <w:tc>
          <w:tcPr>
            <w:tcW w:w="768" w:type="dxa"/>
            <w:hideMark/>
          </w:tcPr>
          <w:p w14:paraId="6CEE9F49" w14:textId="77777777" w:rsidR="005333E9" w:rsidRPr="001225DD" w:rsidRDefault="005333E9" w:rsidP="00AA2133">
            <w:pPr>
              <w:pStyle w:val="RepStandard"/>
              <w:spacing w:before="120" w:after="120"/>
            </w:pPr>
            <w:r w:rsidRPr="001225DD">
              <w:t> </w:t>
            </w:r>
          </w:p>
        </w:tc>
        <w:tc>
          <w:tcPr>
            <w:tcW w:w="767" w:type="dxa"/>
            <w:hideMark/>
          </w:tcPr>
          <w:p w14:paraId="1961AABC" w14:textId="77777777" w:rsidR="005333E9" w:rsidRPr="001225DD" w:rsidRDefault="005333E9" w:rsidP="00AA2133">
            <w:pPr>
              <w:pStyle w:val="RepStandard"/>
              <w:spacing w:before="120" w:after="120"/>
            </w:pPr>
            <w:r w:rsidRPr="001225DD">
              <w:t> </w:t>
            </w:r>
          </w:p>
        </w:tc>
        <w:tc>
          <w:tcPr>
            <w:tcW w:w="767" w:type="dxa"/>
            <w:hideMark/>
          </w:tcPr>
          <w:p w14:paraId="52DFA179" w14:textId="77777777" w:rsidR="005333E9" w:rsidRPr="001225DD" w:rsidRDefault="005333E9" w:rsidP="00AA2133">
            <w:pPr>
              <w:pStyle w:val="RepStandard"/>
              <w:spacing w:before="120" w:after="120"/>
            </w:pPr>
            <w:r w:rsidRPr="001225DD">
              <w:t> </w:t>
            </w:r>
          </w:p>
        </w:tc>
        <w:tc>
          <w:tcPr>
            <w:tcW w:w="768" w:type="dxa"/>
            <w:hideMark/>
          </w:tcPr>
          <w:p w14:paraId="68427B1E" w14:textId="77777777" w:rsidR="005333E9" w:rsidRPr="001225DD" w:rsidRDefault="005333E9" w:rsidP="00AA2133">
            <w:pPr>
              <w:pStyle w:val="RepStandard"/>
              <w:spacing w:before="120" w:after="120"/>
            </w:pPr>
            <w:r w:rsidRPr="001225DD">
              <w:t> </w:t>
            </w:r>
          </w:p>
        </w:tc>
      </w:tr>
      <w:tr w:rsidR="005333E9" w:rsidRPr="001225DD" w14:paraId="4127484D" w14:textId="77777777" w:rsidTr="000A4436">
        <w:trPr>
          <w:trHeight w:val="375"/>
        </w:trPr>
        <w:tc>
          <w:tcPr>
            <w:tcW w:w="988" w:type="dxa"/>
            <w:hideMark/>
          </w:tcPr>
          <w:p w14:paraId="3BEED3A8" w14:textId="77777777" w:rsidR="005333E9" w:rsidRPr="001E5BD6" w:rsidRDefault="005333E9" w:rsidP="00AA2133">
            <w:pPr>
              <w:pStyle w:val="RepStandard"/>
              <w:spacing w:before="120" w:after="120"/>
              <w:rPr>
                <w:b/>
              </w:rPr>
            </w:pPr>
            <w:r w:rsidRPr="001E5BD6">
              <w:rPr>
                <w:b/>
              </w:rPr>
              <w:t>75%</w:t>
            </w:r>
          </w:p>
        </w:tc>
        <w:tc>
          <w:tcPr>
            <w:tcW w:w="1168" w:type="dxa"/>
            <w:hideMark/>
          </w:tcPr>
          <w:p w14:paraId="543AADDF" w14:textId="77777777" w:rsidR="005333E9" w:rsidRPr="001E5BD6" w:rsidRDefault="005333E9" w:rsidP="00AA2133">
            <w:pPr>
              <w:pStyle w:val="RepStandard"/>
              <w:spacing w:before="120" w:after="120"/>
              <w:rPr>
                <w:b/>
              </w:rPr>
            </w:pPr>
            <w:r w:rsidRPr="001E5BD6">
              <w:rPr>
                <w:b/>
              </w:rPr>
              <w:t> </w:t>
            </w:r>
          </w:p>
        </w:tc>
        <w:tc>
          <w:tcPr>
            <w:tcW w:w="816" w:type="dxa"/>
            <w:hideMark/>
          </w:tcPr>
          <w:p w14:paraId="6A2D15AE" w14:textId="77777777" w:rsidR="005333E9" w:rsidRPr="001225DD" w:rsidRDefault="005333E9" w:rsidP="00AA2133">
            <w:pPr>
              <w:pStyle w:val="RepStandard"/>
              <w:spacing w:before="120" w:after="120"/>
            </w:pPr>
            <w:r w:rsidRPr="001225DD">
              <w:t> </w:t>
            </w:r>
          </w:p>
        </w:tc>
        <w:tc>
          <w:tcPr>
            <w:tcW w:w="718" w:type="dxa"/>
            <w:hideMark/>
          </w:tcPr>
          <w:p w14:paraId="5EA5B3F6" w14:textId="77777777" w:rsidR="005333E9" w:rsidRPr="001225DD" w:rsidRDefault="005333E9" w:rsidP="00AA2133">
            <w:pPr>
              <w:pStyle w:val="RepStandard"/>
              <w:spacing w:before="120" w:after="120"/>
            </w:pPr>
            <w:r w:rsidRPr="001225DD">
              <w:t> </w:t>
            </w:r>
          </w:p>
        </w:tc>
        <w:tc>
          <w:tcPr>
            <w:tcW w:w="768" w:type="dxa"/>
            <w:hideMark/>
          </w:tcPr>
          <w:p w14:paraId="15F5D8F5" w14:textId="77777777" w:rsidR="005333E9" w:rsidRPr="001225DD" w:rsidRDefault="005333E9" w:rsidP="00AA2133">
            <w:pPr>
              <w:pStyle w:val="RepStandard"/>
              <w:spacing w:before="120" w:after="120"/>
            </w:pPr>
            <w:r w:rsidRPr="001225DD">
              <w:t> </w:t>
            </w:r>
          </w:p>
        </w:tc>
        <w:tc>
          <w:tcPr>
            <w:tcW w:w="767" w:type="dxa"/>
            <w:hideMark/>
          </w:tcPr>
          <w:p w14:paraId="1390FAC2" w14:textId="77777777" w:rsidR="005333E9" w:rsidRPr="001225DD" w:rsidRDefault="005333E9" w:rsidP="00AA2133">
            <w:pPr>
              <w:pStyle w:val="RepStandard"/>
              <w:spacing w:before="120" w:after="120"/>
            </w:pPr>
            <w:r w:rsidRPr="001225DD">
              <w:t> </w:t>
            </w:r>
          </w:p>
        </w:tc>
        <w:tc>
          <w:tcPr>
            <w:tcW w:w="767" w:type="dxa"/>
            <w:hideMark/>
          </w:tcPr>
          <w:p w14:paraId="3BF0B074" w14:textId="77777777" w:rsidR="005333E9" w:rsidRPr="001225DD" w:rsidRDefault="005333E9" w:rsidP="00AA2133">
            <w:pPr>
              <w:pStyle w:val="RepStandard"/>
              <w:spacing w:before="120" w:after="120"/>
            </w:pPr>
            <w:r w:rsidRPr="001225DD">
              <w:t> </w:t>
            </w:r>
          </w:p>
        </w:tc>
        <w:tc>
          <w:tcPr>
            <w:tcW w:w="768" w:type="dxa"/>
            <w:hideMark/>
          </w:tcPr>
          <w:p w14:paraId="1BAE3307" w14:textId="77777777" w:rsidR="005333E9" w:rsidRPr="001225DD" w:rsidRDefault="005333E9" w:rsidP="00AA2133">
            <w:pPr>
              <w:pStyle w:val="RepStandard"/>
              <w:spacing w:before="120" w:after="120"/>
            </w:pPr>
            <w:r w:rsidRPr="001225DD">
              <w:t> </w:t>
            </w:r>
          </w:p>
        </w:tc>
        <w:tc>
          <w:tcPr>
            <w:tcW w:w="767" w:type="dxa"/>
            <w:hideMark/>
          </w:tcPr>
          <w:p w14:paraId="04E841B4" w14:textId="77777777" w:rsidR="005333E9" w:rsidRPr="001225DD" w:rsidRDefault="005333E9" w:rsidP="00AA2133">
            <w:pPr>
              <w:pStyle w:val="RepStandard"/>
              <w:spacing w:before="120" w:after="120"/>
            </w:pPr>
            <w:r w:rsidRPr="001225DD">
              <w:t> </w:t>
            </w:r>
          </w:p>
        </w:tc>
        <w:tc>
          <w:tcPr>
            <w:tcW w:w="767" w:type="dxa"/>
            <w:hideMark/>
          </w:tcPr>
          <w:p w14:paraId="5D2D45AB" w14:textId="77777777" w:rsidR="005333E9" w:rsidRPr="001225DD" w:rsidRDefault="005333E9" w:rsidP="00AA2133">
            <w:pPr>
              <w:pStyle w:val="RepStandard"/>
              <w:spacing w:before="120" w:after="120"/>
            </w:pPr>
            <w:r w:rsidRPr="001225DD">
              <w:t> </w:t>
            </w:r>
          </w:p>
        </w:tc>
        <w:tc>
          <w:tcPr>
            <w:tcW w:w="768" w:type="dxa"/>
            <w:hideMark/>
          </w:tcPr>
          <w:p w14:paraId="2CD6A290" w14:textId="77777777" w:rsidR="005333E9" w:rsidRPr="001225DD" w:rsidRDefault="005333E9" w:rsidP="00AA2133">
            <w:pPr>
              <w:pStyle w:val="RepStandard"/>
              <w:spacing w:before="120" w:after="120"/>
            </w:pPr>
            <w:r w:rsidRPr="001225DD">
              <w:t> </w:t>
            </w:r>
          </w:p>
        </w:tc>
      </w:tr>
      <w:tr w:rsidR="005333E9" w:rsidRPr="001225DD" w14:paraId="3D3B79BF" w14:textId="77777777" w:rsidTr="000A4436">
        <w:trPr>
          <w:trHeight w:val="375"/>
        </w:trPr>
        <w:tc>
          <w:tcPr>
            <w:tcW w:w="988" w:type="dxa"/>
            <w:hideMark/>
          </w:tcPr>
          <w:p w14:paraId="1B0D9195" w14:textId="77777777" w:rsidR="005333E9" w:rsidRPr="001E5BD6" w:rsidRDefault="005333E9" w:rsidP="00AA2133">
            <w:pPr>
              <w:pStyle w:val="RepStandard"/>
              <w:spacing w:before="120" w:after="120"/>
              <w:rPr>
                <w:b/>
              </w:rPr>
            </w:pPr>
            <w:r w:rsidRPr="001E5BD6">
              <w:rPr>
                <w:b/>
              </w:rPr>
              <w:t>90%</w:t>
            </w:r>
          </w:p>
        </w:tc>
        <w:tc>
          <w:tcPr>
            <w:tcW w:w="1168" w:type="dxa"/>
            <w:hideMark/>
          </w:tcPr>
          <w:p w14:paraId="7296D246" w14:textId="77777777" w:rsidR="005333E9" w:rsidRPr="001E5BD6" w:rsidRDefault="005333E9" w:rsidP="00AA2133">
            <w:pPr>
              <w:pStyle w:val="RepStandard"/>
              <w:spacing w:before="120" w:after="120"/>
              <w:rPr>
                <w:b/>
              </w:rPr>
            </w:pPr>
            <w:r w:rsidRPr="001E5BD6">
              <w:rPr>
                <w:b/>
              </w:rPr>
              <w:t> </w:t>
            </w:r>
          </w:p>
        </w:tc>
        <w:tc>
          <w:tcPr>
            <w:tcW w:w="816" w:type="dxa"/>
            <w:hideMark/>
          </w:tcPr>
          <w:p w14:paraId="1F0DBCC5" w14:textId="77777777" w:rsidR="005333E9" w:rsidRPr="001225DD" w:rsidRDefault="005333E9" w:rsidP="00AA2133">
            <w:pPr>
              <w:pStyle w:val="RepStandard"/>
              <w:spacing w:before="120" w:after="120"/>
            </w:pPr>
            <w:r w:rsidRPr="001225DD">
              <w:t> </w:t>
            </w:r>
          </w:p>
        </w:tc>
        <w:tc>
          <w:tcPr>
            <w:tcW w:w="718" w:type="dxa"/>
            <w:hideMark/>
          </w:tcPr>
          <w:p w14:paraId="6D0F966C" w14:textId="77777777" w:rsidR="005333E9" w:rsidRPr="001225DD" w:rsidRDefault="005333E9" w:rsidP="00AA2133">
            <w:pPr>
              <w:pStyle w:val="RepStandard"/>
              <w:spacing w:before="120" w:after="120"/>
            </w:pPr>
            <w:r w:rsidRPr="001225DD">
              <w:t> </w:t>
            </w:r>
          </w:p>
        </w:tc>
        <w:tc>
          <w:tcPr>
            <w:tcW w:w="768" w:type="dxa"/>
            <w:hideMark/>
          </w:tcPr>
          <w:p w14:paraId="0A0AAAAB" w14:textId="77777777" w:rsidR="005333E9" w:rsidRPr="001225DD" w:rsidRDefault="005333E9" w:rsidP="00AA2133">
            <w:pPr>
              <w:pStyle w:val="RepStandard"/>
              <w:spacing w:before="120" w:after="120"/>
            </w:pPr>
            <w:r w:rsidRPr="001225DD">
              <w:t> </w:t>
            </w:r>
          </w:p>
        </w:tc>
        <w:tc>
          <w:tcPr>
            <w:tcW w:w="767" w:type="dxa"/>
            <w:hideMark/>
          </w:tcPr>
          <w:p w14:paraId="5642184B" w14:textId="77777777" w:rsidR="005333E9" w:rsidRPr="001225DD" w:rsidRDefault="005333E9" w:rsidP="00AA2133">
            <w:pPr>
              <w:pStyle w:val="RepStandard"/>
              <w:spacing w:before="120" w:after="120"/>
            </w:pPr>
            <w:r w:rsidRPr="001225DD">
              <w:t> </w:t>
            </w:r>
          </w:p>
        </w:tc>
        <w:tc>
          <w:tcPr>
            <w:tcW w:w="767" w:type="dxa"/>
            <w:hideMark/>
          </w:tcPr>
          <w:p w14:paraId="40AADB99" w14:textId="77777777" w:rsidR="005333E9" w:rsidRPr="001225DD" w:rsidRDefault="005333E9" w:rsidP="00AA2133">
            <w:pPr>
              <w:pStyle w:val="RepStandard"/>
              <w:spacing w:before="120" w:after="120"/>
            </w:pPr>
            <w:r w:rsidRPr="001225DD">
              <w:t> </w:t>
            </w:r>
          </w:p>
        </w:tc>
        <w:tc>
          <w:tcPr>
            <w:tcW w:w="768" w:type="dxa"/>
            <w:hideMark/>
          </w:tcPr>
          <w:p w14:paraId="75B75B10" w14:textId="77777777" w:rsidR="005333E9" w:rsidRPr="001225DD" w:rsidRDefault="005333E9" w:rsidP="00AA2133">
            <w:pPr>
              <w:pStyle w:val="RepStandard"/>
              <w:spacing w:before="120" w:after="120"/>
            </w:pPr>
            <w:r w:rsidRPr="001225DD">
              <w:t> </w:t>
            </w:r>
          </w:p>
        </w:tc>
        <w:tc>
          <w:tcPr>
            <w:tcW w:w="767" w:type="dxa"/>
            <w:hideMark/>
          </w:tcPr>
          <w:p w14:paraId="162D76E4" w14:textId="77777777" w:rsidR="005333E9" w:rsidRPr="001225DD" w:rsidRDefault="005333E9" w:rsidP="00AA2133">
            <w:pPr>
              <w:pStyle w:val="RepStandard"/>
              <w:spacing w:before="120" w:after="120"/>
            </w:pPr>
            <w:r w:rsidRPr="001225DD">
              <w:t> </w:t>
            </w:r>
          </w:p>
        </w:tc>
        <w:tc>
          <w:tcPr>
            <w:tcW w:w="767" w:type="dxa"/>
            <w:hideMark/>
          </w:tcPr>
          <w:p w14:paraId="6936C8E4" w14:textId="77777777" w:rsidR="005333E9" w:rsidRPr="001225DD" w:rsidRDefault="005333E9" w:rsidP="00AA2133">
            <w:pPr>
              <w:pStyle w:val="RepStandard"/>
              <w:spacing w:before="120" w:after="120"/>
            </w:pPr>
            <w:r w:rsidRPr="001225DD">
              <w:t> </w:t>
            </w:r>
          </w:p>
        </w:tc>
        <w:tc>
          <w:tcPr>
            <w:tcW w:w="768" w:type="dxa"/>
            <w:hideMark/>
          </w:tcPr>
          <w:p w14:paraId="75C5B847" w14:textId="77777777" w:rsidR="005333E9" w:rsidRPr="001225DD" w:rsidRDefault="005333E9" w:rsidP="00AA2133">
            <w:pPr>
              <w:pStyle w:val="RepStandard"/>
              <w:spacing w:before="120" w:after="120"/>
            </w:pPr>
            <w:r w:rsidRPr="001225DD">
              <w:t> </w:t>
            </w:r>
          </w:p>
        </w:tc>
      </w:tr>
      <w:tr w:rsidR="005333E9" w:rsidRPr="001225DD" w14:paraId="30450C4F" w14:textId="77777777" w:rsidTr="000A4436">
        <w:trPr>
          <w:trHeight w:val="375"/>
        </w:trPr>
        <w:tc>
          <w:tcPr>
            <w:tcW w:w="988" w:type="dxa"/>
            <w:hideMark/>
          </w:tcPr>
          <w:p w14:paraId="2DBA7B44" w14:textId="77777777" w:rsidR="005333E9" w:rsidRPr="001E5BD6" w:rsidRDefault="005333E9" w:rsidP="00AA2133">
            <w:pPr>
              <w:pStyle w:val="RepStandard"/>
              <w:spacing w:before="120" w:after="120"/>
              <w:rPr>
                <w:b/>
              </w:rPr>
            </w:pPr>
            <w:r w:rsidRPr="001E5BD6">
              <w:rPr>
                <w:b/>
              </w:rPr>
              <w:t>None</w:t>
            </w:r>
          </w:p>
        </w:tc>
        <w:tc>
          <w:tcPr>
            <w:tcW w:w="1168" w:type="dxa"/>
            <w:hideMark/>
          </w:tcPr>
          <w:p w14:paraId="6617A23D" w14:textId="77777777" w:rsidR="005333E9" w:rsidRPr="001E5BD6" w:rsidRDefault="005333E9" w:rsidP="00AA2133">
            <w:pPr>
              <w:pStyle w:val="RepStandard"/>
              <w:spacing w:before="120" w:after="120"/>
              <w:rPr>
                <w:b/>
              </w:rPr>
            </w:pPr>
            <w:r w:rsidRPr="001E5BD6">
              <w:rPr>
                <w:b/>
              </w:rPr>
              <w:t>R3 stream</w:t>
            </w:r>
          </w:p>
        </w:tc>
        <w:tc>
          <w:tcPr>
            <w:tcW w:w="816" w:type="dxa"/>
            <w:hideMark/>
          </w:tcPr>
          <w:p w14:paraId="33B7E364" w14:textId="77777777" w:rsidR="005333E9" w:rsidRPr="001225DD" w:rsidRDefault="005333E9" w:rsidP="00AA2133">
            <w:pPr>
              <w:pStyle w:val="RepStandard"/>
              <w:spacing w:before="120" w:after="120"/>
            </w:pPr>
            <w:r w:rsidRPr="001225DD">
              <w:t> </w:t>
            </w:r>
          </w:p>
        </w:tc>
        <w:tc>
          <w:tcPr>
            <w:tcW w:w="718" w:type="dxa"/>
            <w:hideMark/>
          </w:tcPr>
          <w:p w14:paraId="309B3604" w14:textId="77777777" w:rsidR="005333E9" w:rsidRPr="001225DD" w:rsidRDefault="005333E9" w:rsidP="00AA2133">
            <w:pPr>
              <w:pStyle w:val="RepStandard"/>
              <w:spacing w:before="120" w:after="120"/>
            </w:pPr>
            <w:r w:rsidRPr="001225DD">
              <w:t> </w:t>
            </w:r>
          </w:p>
        </w:tc>
        <w:tc>
          <w:tcPr>
            <w:tcW w:w="768" w:type="dxa"/>
            <w:hideMark/>
          </w:tcPr>
          <w:p w14:paraId="4D740441" w14:textId="77777777" w:rsidR="005333E9" w:rsidRPr="001225DD" w:rsidRDefault="005333E9" w:rsidP="00AA2133">
            <w:pPr>
              <w:pStyle w:val="RepStandard"/>
              <w:spacing w:before="120" w:after="120"/>
            </w:pPr>
            <w:r w:rsidRPr="001225DD">
              <w:t> </w:t>
            </w:r>
          </w:p>
        </w:tc>
        <w:tc>
          <w:tcPr>
            <w:tcW w:w="767" w:type="dxa"/>
            <w:hideMark/>
          </w:tcPr>
          <w:p w14:paraId="76D4126B" w14:textId="77777777" w:rsidR="005333E9" w:rsidRPr="001225DD" w:rsidRDefault="005333E9" w:rsidP="00AA2133">
            <w:pPr>
              <w:pStyle w:val="RepStandard"/>
              <w:spacing w:before="120" w:after="120"/>
            </w:pPr>
            <w:r w:rsidRPr="001225DD">
              <w:t> </w:t>
            </w:r>
          </w:p>
        </w:tc>
        <w:tc>
          <w:tcPr>
            <w:tcW w:w="767" w:type="dxa"/>
            <w:hideMark/>
          </w:tcPr>
          <w:p w14:paraId="40D386C9" w14:textId="77777777" w:rsidR="005333E9" w:rsidRPr="001225DD" w:rsidRDefault="005333E9" w:rsidP="00AA2133">
            <w:pPr>
              <w:pStyle w:val="RepStandard"/>
              <w:spacing w:before="120" w:after="120"/>
            </w:pPr>
            <w:r w:rsidRPr="001225DD">
              <w:t> </w:t>
            </w:r>
          </w:p>
        </w:tc>
        <w:tc>
          <w:tcPr>
            <w:tcW w:w="768" w:type="dxa"/>
            <w:hideMark/>
          </w:tcPr>
          <w:p w14:paraId="0DE6A6DD" w14:textId="77777777" w:rsidR="005333E9" w:rsidRPr="001225DD" w:rsidRDefault="005333E9" w:rsidP="00AA2133">
            <w:pPr>
              <w:pStyle w:val="RepStandard"/>
              <w:spacing w:before="120" w:after="120"/>
            </w:pPr>
            <w:r w:rsidRPr="001225DD">
              <w:t> </w:t>
            </w:r>
          </w:p>
        </w:tc>
        <w:tc>
          <w:tcPr>
            <w:tcW w:w="767" w:type="dxa"/>
            <w:hideMark/>
          </w:tcPr>
          <w:p w14:paraId="649C1798" w14:textId="77777777" w:rsidR="005333E9" w:rsidRPr="001225DD" w:rsidRDefault="005333E9" w:rsidP="00AA2133">
            <w:pPr>
              <w:pStyle w:val="RepStandard"/>
              <w:spacing w:before="120" w:after="120"/>
            </w:pPr>
            <w:r w:rsidRPr="001225DD">
              <w:t> </w:t>
            </w:r>
          </w:p>
        </w:tc>
        <w:tc>
          <w:tcPr>
            <w:tcW w:w="767" w:type="dxa"/>
            <w:hideMark/>
          </w:tcPr>
          <w:p w14:paraId="5341FB9B" w14:textId="77777777" w:rsidR="005333E9" w:rsidRPr="001225DD" w:rsidRDefault="005333E9" w:rsidP="00AA2133">
            <w:pPr>
              <w:pStyle w:val="RepStandard"/>
              <w:spacing w:before="120" w:after="120"/>
            </w:pPr>
            <w:r w:rsidRPr="001225DD">
              <w:t> </w:t>
            </w:r>
          </w:p>
        </w:tc>
        <w:tc>
          <w:tcPr>
            <w:tcW w:w="768" w:type="dxa"/>
            <w:hideMark/>
          </w:tcPr>
          <w:p w14:paraId="255E5DE6" w14:textId="77777777" w:rsidR="005333E9" w:rsidRPr="001225DD" w:rsidRDefault="005333E9" w:rsidP="00AA2133">
            <w:pPr>
              <w:pStyle w:val="RepStandard"/>
              <w:spacing w:before="120" w:after="120"/>
            </w:pPr>
            <w:r w:rsidRPr="001225DD">
              <w:t> </w:t>
            </w:r>
          </w:p>
        </w:tc>
      </w:tr>
      <w:tr w:rsidR="005333E9" w:rsidRPr="001225DD" w14:paraId="622FBDE9" w14:textId="77777777" w:rsidTr="000A4436">
        <w:trPr>
          <w:trHeight w:val="375"/>
        </w:trPr>
        <w:tc>
          <w:tcPr>
            <w:tcW w:w="988" w:type="dxa"/>
            <w:hideMark/>
          </w:tcPr>
          <w:p w14:paraId="63F5FEAD" w14:textId="77777777" w:rsidR="005333E9" w:rsidRPr="001E5BD6" w:rsidRDefault="005333E9" w:rsidP="00AA2133">
            <w:pPr>
              <w:pStyle w:val="RepStandard"/>
              <w:spacing w:before="120" w:after="120"/>
              <w:rPr>
                <w:b/>
              </w:rPr>
            </w:pPr>
            <w:r w:rsidRPr="001E5BD6">
              <w:rPr>
                <w:b/>
              </w:rPr>
              <w:t>50%</w:t>
            </w:r>
          </w:p>
        </w:tc>
        <w:tc>
          <w:tcPr>
            <w:tcW w:w="1168" w:type="dxa"/>
            <w:hideMark/>
          </w:tcPr>
          <w:p w14:paraId="6F3813BA" w14:textId="77777777" w:rsidR="005333E9" w:rsidRPr="001E5BD6" w:rsidRDefault="005333E9" w:rsidP="00AA2133">
            <w:pPr>
              <w:pStyle w:val="RepStandard"/>
              <w:spacing w:before="120" w:after="120"/>
              <w:rPr>
                <w:b/>
              </w:rPr>
            </w:pPr>
            <w:r w:rsidRPr="001E5BD6">
              <w:rPr>
                <w:b/>
              </w:rPr>
              <w:t> </w:t>
            </w:r>
          </w:p>
        </w:tc>
        <w:tc>
          <w:tcPr>
            <w:tcW w:w="816" w:type="dxa"/>
            <w:hideMark/>
          </w:tcPr>
          <w:p w14:paraId="5559C174" w14:textId="77777777" w:rsidR="005333E9" w:rsidRPr="001225DD" w:rsidRDefault="005333E9" w:rsidP="00AA2133">
            <w:pPr>
              <w:pStyle w:val="RepStandard"/>
              <w:spacing w:before="120" w:after="120"/>
            </w:pPr>
            <w:r w:rsidRPr="001225DD">
              <w:t> </w:t>
            </w:r>
          </w:p>
        </w:tc>
        <w:tc>
          <w:tcPr>
            <w:tcW w:w="718" w:type="dxa"/>
            <w:hideMark/>
          </w:tcPr>
          <w:p w14:paraId="6F5F54C8" w14:textId="77777777" w:rsidR="005333E9" w:rsidRPr="001225DD" w:rsidRDefault="005333E9" w:rsidP="00AA2133">
            <w:pPr>
              <w:pStyle w:val="RepStandard"/>
              <w:spacing w:before="120" w:after="120"/>
            </w:pPr>
            <w:r w:rsidRPr="001225DD">
              <w:t> </w:t>
            </w:r>
          </w:p>
        </w:tc>
        <w:tc>
          <w:tcPr>
            <w:tcW w:w="768" w:type="dxa"/>
            <w:hideMark/>
          </w:tcPr>
          <w:p w14:paraId="37446E19" w14:textId="77777777" w:rsidR="005333E9" w:rsidRPr="001225DD" w:rsidRDefault="005333E9" w:rsidP="00AA2133">
            <w:pPr>
              <w:pStyle w:val="RepStandard"/>
              <w:spacing w:before="120" w:after="120"/>
            </w:pPr>
            <w:r w:rsidRPr="001225DD">
              <w:t> </w:t>
            </w:r>
          </w:p>
        </w:tc>
        <w:tc>
          <w:tcPr>
            <w:tcW w:w="767" w:type="dxa"/>
            <w:hideMark/>
          </w:tcPr>
          <w:p w14:paraId="57408F38" w14:textId="77777777" w:rsidR="005333E9" w:rsidRPr="001225DD" w:rsidRDefault="005333E9" w:rsidP="00AA2133">
            <w:pPr>
              <w:pStyle w:val="RepStandard"/>
              <w:spacing w:before="120" w:after="120"/>
            </w:pPr>
            <w:r w:rsidRPr="001225DD">
              <w:t> </w:t>
            </w:r>
          </w:p>
        </w:tc>
        <w:tc>
          <w:tcPr>
            <w:tcW w:w="767" w:type="dxa"/>
            <w:hideMark/>
          </w:tcPr>
          <w:p w14:paraId="62C344E3" w14:textId="77777777" w:rsidR="005333E9" w:rsidRPr="001225DD" w:rsidRDefault="005333E9" w:rsidP="00AA2133">
            <w:pPr>
              <w:pStyle w:val="RepStandard"/>
              <w:spacing w:before="120" w:after="120"/>
            </w:pPr>
            <w:r w:rsidRPr="001225DD">
              <w:t> </w:t>
            </w:r>
          </w:p>
        </w:tc>
        <w:tc>
          <w:tcPr>
            <w:tcW w:w="768" w:type="dxa"/>
            <w:hideMark/>
          </w:tcPr>
          <w:p w14:paraId="7836A7BB" w14:textId="77777777" w:rsidR="005333E9" w:rsidRPr="001225DD" w:rsidRDefault="005333E9" w:rsidP="00AA2133">
            <w:pPr>
              <w:pStyle w:val="RepStandard"/>
              <w:spacing w:before="120" w:after="120"/>
            </w:pPr>
            <w:r w:rsidRPr="001225DD">
              <w:t> </w:t>
            </w:r>
          </w:p>
        </w:tc>
        <w:tc>
          <w:tcPr>
            <w:tcW w:w="767" w:type="dxa"/>
            <w:hideMark/>
          </w:tcPr>
          <w:p w14:paraId="63CDA705" w14:textId="77777777" w:rsidR="005333E9" w:rsidRPr="001225DD" w:rsidRDefault="005333E9" w:rsidP="00AA2133">
            <w:pPr>
              <w:pStyle w:val="RepStandard"/>
              <w:spacing w:before="120" w:after="120"/>
            </w:pPr>
            <w:r w:rsidRPr="001225DD">
              <w:t> </w:t>
            </w:r>
          </w:p>
        </w:tc>
        <w:tc>
          <w:tcPr>
            <w:tcW w:w="767" w:type="dxa"/>
            <w:hideMark/>
          </w:tcPr>
          <w:p w14:paraId="638D4ED8" w14:textId="77777777" w:rsidR="005333E9" w:rsidRPr="001225DD" w:rsidRDefault="005333E9" w:rsidP="00AA2133">
            <w:pPr>
              <w:pStyle w:val="RepStandard"/>
              <w:spacing w:before="120" w:after="120"/>
            </w:pPr>
            <w:r w:rsidRPr="001225DD">
              <w:t> </w:t>
            </w:r>
          </w:p>
        </w:tc>
        <w:tc>
          <w:tcPr>
            <w:tcW w:w="768" w:type="dxa"/>
            <w:hideMark/>
          </w:tcPr>
          <w:p w14:paraId="3F16A11D" w14:textId="77777777" w:rsidR="005333E9" w:rsidRPr="001225DD" w:rsidRDefault="005333E9" w:rsidP="00AA2133">
            <w:pPr>
              <w:pStyle w:val="RepStandard"/>
              <w:spacing w:before="120" w:after="120"/>
            </w:pPr>
            <w:r w:rsidRPr="001225DD">
              <w:t> </w:t>
            </w:r>
          </w:p>
        </w:tc>
      </w:tr>
      <w:tr w:rsidR="005333E9" w:rsidRPr="001225DD" w14:paraId="118E46FF" w14:textId="77777777" w:rsidTr="000A4436">
        <w:trPr>
          <w:trHeight w:val="375"/>
        </w:trPr>
        <w:tc>
          <w:tcPr>
            <w:tcW w:w="988" w:type="dxa"/>
            <w:hideMark/>
          </w:tcPr>
          <w:p w14:paraId="5C956E75" w14:textId="77777777" w:rsidR="005333E9" w:rsidRPr="001E5BD6" w:rsidRDefault="005333E9" w:rsidP="00AA2133">
            <w:pPr>
              <w:pStyle w:val="RepStandard"/>
              <w:spacing w:before="120" w:after="120"/>
              <w:rPr>
                <w:b/>
              </w:rPr>
            </w:pPr>
            <w:r w:rsidRPr="001E5BD6">
              <w:rPr>
                <w:b/>
              </w:rPr>
              <w:t>75%</w:t>
            </w:r>
          </w:p>
        </w:tc>
        <w:tc>
          <w:tcPr>
            <w:tcW w:w="1168" w:type="dxa"/>
            <w:hideMark/>
          </w:tcPr>
          <w:p w14:paraId="6BBB5E09" w14:textId="77777777" w:rsidR="005333E9" w:rsidRPr="001E5BD6" w:rsidRDefault="005333E9" w:rsidP="00AA2133">
            <w:pPr>
              <w:pStyle w:val="RepStandard"/>
              <w:spacing w:before="120" w:after="120"/>
              <w:rPr>
                <w:b/>
              </w:rPr>
            </w:pPr>
            <w:r w:rsidRPr="001E5BD6">
              <w:rPr>
                <w:b/>
              </w:rPr>
              <w:t> </w:t>
            </w:r>
          </w:p>
        </w:tc>
        <w:tc>
          <w:tcPr>
            <w:tcW w:w="816" w:type="dxa"/>
            <w:hideMark/>
          </w:tcPr>
          <w:p w14:paraId="0E136FD1" w14:textId="77777777" w:rsidR="005333E9" w:rsidRPr="001225DD" w:rsidRDefault="005333E9" w:rsidP="00AA2133">
            <w:pPr>
              <w:pStyle w:val="RepStandard"/>
              <w:spacing w:before="120" w:after="120"/>
            </w:pPr>
            <w:r w:rsidRPr="001225DD">
              <w:t> </w:t>
            </w:r>
          </w:p>
        </w:tc>
        <w:tc>
          <w:tcPr>
            <w:tcW w:w="718" w:type="dxa"/>
            <w:hideMark/>
          </w:tcPr>
          <w:p w14:paraId="1AB551CF" w14:textId="77777777" w:rsidR="005333E9" w:rsidRPr="001225DD" w:rsidRDefault="005333E9" w:rsidP="00AA2133">
            <w:pPr>
              <w:pStyle w:val="RepStandard"/>
              <w:spacing w:before="120" w:after="120"/>
            </w:pPr>
            <w:r w:rsidRPr="001225DD">
              <w:t> </w:t>
            </w:r>
          </w:p>
        </w:tc>
        <w:tc>
          <w:tcPr>
            <w:tcW w:w="768" w:type="dxa"/>
            <w:hideMark/>
          </w:tcPr>
          <w:p w14:paraId="39104479" w14:textId="77777777" w:rsidR="005333E9" w:rsidRPr="001225DD" w:rsidRDefault="005333E9" w:rsidP="00AA2133">
            <w:pPr>
              <w:pStyle w:val="RepStandard"/>
              <w:spacing w:before="120" w:after="120"/>
            </w:pPr>
            <w:r w:rsidRPr="001225DD">
              <w:t> </w:t>
            </w:r>
          </w:p>
        </w:tc>
        <w:tc>
          <w:tcPr>
            <w:tcW w:w="767" w:type="dxa"/>
            <w:hideMark/>
          </w:tcPr>
          <w:p w14:paraId="401F9A5E" w14:textId="77777777" w:rsidR="005333E9" w:rsidRPr="001225DD" w:rsidRDefault="005333E9" w:rsidP="00AA2133">
            <w:pPr>
              <w:pStyle w:val="RepStandard"/>
              <w:spacing w:before="120" w:after="120"/>
            </w:pPr>
            <w:r w:rsidRPr="001225DD">
              <w:t> </w:t>
            </w:r>
          </w:p>
        </w:tc>
        <w:tc>
          <w:tcPr>
            <w:tcW w:w="767" w:type="dxa"/>
            <w:hideMark/>
          </w:tcPr>
          <w:p w14:paraId="1771DBC5" w14:textId="77777777" w:rsidR="005333E9" w:rsidRPr="001225DD" w:rsidRDefault="005333E9" w:rsidP="00AA2133">
            <w:pPr>
              <w:pStyle w:val="RepStandard"/>
              <w:spacing w:before="120" w:after="120"/>
            </w:pPr>
            <w:r w:rsidRPr="001225DD">
              <w:t> </w:t>
            </w:r>
          </w:p>
        </w:tc>
        <w:tc>
          <w:tcPr>
            <w:tcW w:w="768" w:type="dxa"/>
            <w:hideMark/>
          </w:tcPr>
          <w:p w14:paraId="0608E352" w14:textId="77777777" w:rsidR="005333E9" w:rsidRPr="001225DD" w:rsidRDefault="005333E9" w:rsidP="00AA2133">
            <w:pPr>
              <w:pStyle w:val="RepStandard"/>
              <w:spacing w:before="120" w:after="120"/>
            </w:pPr>
            <w:r w:rsidRPr="001225DD">
              <w:t> </w:t>
            </w:r>
          </w:p>
        </w:tc>
        <w:tc>
          <w:tcPr>
            <w:tcW w:w="767" w:type="dxa"/>
            <w:hideMark/>
          </w:tcPr>
          <w:p w14:paraId="1E057099" w14:textId="77777777" w:rsidR="005333E9" w:rsidRPr="001225DD" w:rsidRDefault="005333E9" w:rsidP="00AA2133">
            <w:pPr>
              <w:pStyle w:val="RepStandard"/>
              <w:spacing w:before="120" w:after="120"/>
            </w:pPr>
            <w:r w:rsidRPr="001225DD">
              <w:t> </w:t>
            </w:r>
          </w:p>
        </w:tc>
        <w:tc>
          <w:tcPr>
            <w:tcW w:w="767" w:type="dxa"/>
            <w:hideMark/>
          </w:tcPr>
          <w:p w14:paraId="51BD4CB6" w14:textId="77777777" w:rsidR="005333E9" w:rsidRPr="001225DD" w:rsidRDefault="005333E9" w:rsidP="00AA2133">
            <w:pPr>
              <w:pStyle w:val="RepStandard"/>
              <w:spacing w:before="120" w:after="120"/>
            </w:pPr>
            <w:r w:rsidRPr="001225DD">
              <w:t> </w:t>
            </w:r>
          </w:p>
        </w:tc>
        <w:tc>
          <w:tcPr>
            <w:tcW w:w="768" w:type="dxa"/>
            <w:hideMark/>
          </w:tcPr>
          <w:p w14:paraId="6634C59F" w14:textId="77777777" w:rsidR="005333E9" w:rsidRPr="001225DD" w:rsidRDefault="005333E9" w:rsidP="00AA2133">
            <w:pPr>
              <w:pStyle w:val="RepStandard"/>
              <w:spacing w:before="120" w:after="120"/>
            </w:pPr>
            <w:r w:rsidRPr="001225DD">
              <w:t> </w:t>
            </w:r>
          </w:p>
        </w:tc>
      </w:tr>
      <w:tr w:rsidR="005333E9" w:rsidRPr="001225DD" w14:paraId="42213F14" w14:textId="77777777" w:rsidTr="000A4436">
        <w:trPr>
          <w:trHeight w:val="375"/>
        </w:trPr>
        <w:tc>
          <w:tcPr>
            <w:tcW w:w="988" w:type="dxa"/>
            <w:hideMark/>
          </w:tcPr>
          <w:p w14:paraId="1A465D23" w14:textId="77777777" w:rsidR="005333E9" w:rsidRPr="001E5BD6" w:rsidRDefault="005333E9" w:rsidP="00AA2133">
            <w:pPr>
              <w:pStyle w:val="RepStandard"/>
              <w:spacing w:before="120" w:after="120"/>
              <w:rPr>
                <w:b/>
              </w:rPr>
            </w:pPr>
            <w:r w:rsidRPr="001E5BD6">
              <w:rPr>
                <w:b/>
              </w:rPr>
              <w:t>90%</w:t>
            </w:r>
          </w:p>
        </w:tc>
        <w:tc>
          <w:tcPr>
            <w:tcW w:w="1168" w:type="dxa"/>
            <w:hideMark/>
          </w:tcPr>
          <w:p w14:paraId="186FB98B" w14:textId="77777777" w:rsidR="005333E9" w:rsidRPr="001E5BD6" w:rsidRDefault="005333E9" w:rsidP="00AA2133">
            <w:pPr>
              <w:pStyle w:val="RepStandard"/>
              <w:spacing w:before="120" w:after="120"/>
              <w:rPr>
                <w:b/>
              </w:rPr>
            </w:pPr>
            <w:r w:rsidRPr="001E5BD6">
              <w:rPr>
                <w:b/>
              </w:rPr>
              <w:t> </w:t>
            </w:r>
          </w:p>
        </w:tc>
        <w:tc>
          <w:tcPr>
            <w:tcW w:w="816" w:type="dxa"/>
            <w:hideMark/>
          </w:tcPr>
          <w:p w14:paraId="112DDB52" w14:textId="77777777" w:rsidR="005333E9" w:rsidRPr="001225DD" w:rsidRDefault="005333E9" w:rsidP="00AA2133">
            <w:pPr>
              <w:pStyle w:val="RepStandard"/>
              <w:spacing w:before="120" w:after="120"/>
            </w:pPr>
            <w:r w:rsidRPr="001225DD">
              <w:t> </w:t>
            </w:r>
          </w:p>
        </w:tc>
        <w:tc>
          <w:tcPr>
            <w:tcW w:w="718" w:type="dxa"/>
            <w:hideMark/>
          </w:tcPr>
          <w:p w14:paraId="274399C1" w14:textId="77777777" w:rsidR="005333E9" w:rsidRPr="001225DD" w:rsidRDefault="005333E9" w:rsidP="00AA2133">
            <w:pPr>
              <w:pStyle w:val="RepStandard"/>
              <w:spacing w:before="120" w:after="120"/>
            </w:pPr>
            <w:r w:rsidRPr="001225DD">
              <w:t> </w:t>
            </w:r>
          </w:p>
        </w:tc>
        <w:tc>
          <w:tcPr>
            <w:tcW w:w="768" w:type="dxa"/>
            <w:hideMark/>
          </w:tcPr>
          <w:p w14:paraId="676E4718" w14:textId="77777777" w:rsidR="005333E9" w:rsidRPr="001225DD" w:rsidRDefault="005333E9" w:rsidP="00AA2133">
            <w:pPr>
              <w:pStyle w:val="RepStandard"/>
              <w:spacing w:before="120" w:after="120"/>
            </w:pPr>
            <w:r w:rsidRPr="001225DD">
              <w:t> </w:t>
            </w:r>
          </w:p>
        </w:tc>
        <w:tc>
          <w:tcPr>
            <w:tcW w:w="767" w:type="dxa"/>
            <w:hideMark/>
          </w:tcPr>
          <w:p w14:paraId="0CAA5696" w14:textId="77777777" w:rsidR="005333E9" w:rsidRPr="001225DD" w:rsidRDefault="005333E9" w:rsidP="00AA2133">
            <w:pPr>
              <w:pStyle w:val="RepStandard"/>
              <w:spacing w:before="120" w:after="120"/>
            </w:pPr>
            <w:r w:rsidRPr="001225DD">
              <w:t> </w:t>
            </w:r>
          </w:p>
        </w:tc>
        <w:tc>
          <w:tcPr>
            <w:tcW w:w="767" w:type="dxa"/>
            <w:hideMark/>
          </w:tcPr>
          <w:p w14:paraId="7DC87D6C" w14:textId="77777777" w:rsidR="005333E9" w:rsidRPr="001225DD" w:rsidRDefault="005333E9" w:rsidP="00AA2133">
            <w:pPr>
              <w:pStyle w:val="RepStandard"/>
              <w:spacing w:before="120" w:after="120"/>
            </w:pPr>
            <w:r w:rsidRPr="001225DD">
              <w:t> </w:t>
            </w:r>
          </w:p>
        </w:tc>
        <w:tc>
          <w:tcPr>
            <w:tcW w:w="768" w:type="dxa"/>
            <w:hideMark/>
          </w:tcPr>
          <w:p w14:paraId="0F809CA3" w14:textId="77777777" w:rsidR="005333E9" w:rsidRPr="001225DD" w:rsidRDefault="005333E9" w:rsidP="00AA2133">
            <w:pPr>
              <w:pStyle w:val="RepStandard"/>
              <w:spacing w:before="120" w:after="120"/>
            </w:pPr>
            <w:r w:rsidRPr="001225DD">
              <w:t> </w:t>
            </w:r>
          </w:p>
        </w:tc>
        <w:tc>
          <w:tcPr>
            <w:tcW w:w="767" w:type="dxa"/>
            <w:hideMark/>
          </w:tcPr>
          <w:p w14:paraId="5405CB31" w14:textId="77777777" w:rsidR="005333E9" w:rsidRPr="001225DD" w:rsidRDefault="005333E9" w:rsidP="00AA2133">
            <w:pPr>
              <w:pStyle w:val="RepStandard"/>
              <w:spacing w:before="120" w:after="120"/>
            </w:pPr>
            <w:r w:rsidRPr="001225DD">
              <w:t> </w:t>
            </w:r>
          </w:p>
        </w:tc>
        <w:tc>
          <w:tcPr>
            <w:tcW w:w="767" w:type="dxa"/>
            <w:hideMark/>
          </w:tcPr>
          <w:p w14:paraId="7D50F68E" w14:textId="77777777" w:rsidR="005333E9" w:rsidRPr="001225DD" w:rsidRDefault="005333E9" w:rsidP="00AA2133">
            <w:pPr>
              <w:pStyle w:val="RepStandard"/>
              <w:spacing w:before="120" w:after="120"/>
            </w:pPr>
            <w:r w:rsidRPr="001225DD">
              <w:t> </w:t>
            </w:r>
          </w:p>
        </w:tc>
        <w:tc>
          <w:tcPr>
            <w:tcW w:w="768" w:type="dxa"/>
            <w:hideMark/>
          </w:tcPr>
          <w:p w14:paraId="260FAB09" w14:textId="77777777" w:rsidR="005333E9" w:rsidRPr="001225DD" w:rsidRDefault="005333E9" w:rsidP="00AA2133">
            <w:pPr>
              <w:pStyle w:val="RepStandard"/>
              <w:spacing w:before="120" w:after="120"/>
            </w:pPr>
            <w:r w:rsidRPr="001225DD">
              <w:t> </w:t>
            </w:r>
          </w:p>
        </w:tc>
      </w:tr>
      <w:tr w:rsidR="005333E9" w:rsidRPr="001225DD" w14:paraId="78B4B89C" w14:textId="77777777" w:rsidTr="000A4436">
        <w:trPr>
          <w:trHeight w:val="375"/>
        </w:trPr>
        <w:tc>
          <w:tcPr>
            <w:tcW w:w="988" w:type="dxa"/>
            <w:hideMark/>
          </w:tcPr>
          <w:p w14:paraId="107DAEB2" w14:textId="77777777" w:rsidR="005333E9" w:rsidRPr="001E5BD6" w:rsidRDefault="005333E9" w:rsidP="00AA2133">
            <w:pPr>
              <w:pStyle w:val="RepStandard"/>
              <w:spacing w:before="120" w:after="120"/>
              <w:rPr>
                <w:b/>
              </w:rPr>
            </w:pPr>
            <w:r w:rsidRPr="001E5BD6">
              <w:rPr>
                <w:b/>
              </w:rPr>
              <w:t>None</w:t>
            </w:r>
          </w:p>
        </w:tc>
        <w:tc>
          <w:tcPr>
            <w:tcW w:w="1168" w:type="dxa"/>
            <w:hideMark/>
          </w:tcPr>
          <w:p w14:paraId="40A3A0A1" w14:textId="77777777" w:rsidR="005333E9" w:rsidRPr="001E5BD6" w:rsidRDefault="005333E9" w:rsidP="00AA2133">
            <w:pPr>
              <w:pStyle w:val="RepStandard"/>
              <w:spacing w:before="120" w:after="120"/>
              <w:rPr>
                <w:b/>
              </w:rPr>
            </w:pPr>
            <w:r w:rsidRPr="001E5BD6">
              <w:rPr>
                <w:b/>
              </w:rPr>
              <w:t>R4 stream</w:t>
            </w:r>
          </w:p>
        </w:tc>
        <w:tc>
          <w:tcPr>
            <w:tcW w:w="816" w:type="dxa"/>
            <w:hideMark/>
          </w:tcPr>
          <w:p w14:paraId="605622A5" w14:textId="77777777" w:rsidR="005333E9" w:rsidRPr="001225DD" w:rsidRDefault="005333E9" w:rsidP="00AA2133">
            <w:pPr>
              <w:pStyle w:val="RepStandard"/>
              <w:spacing w:before="120" w:after="120"/>
            </w:pPr>
            <w:r w:rsidRPr="001225DD">
              <w:t> </w:t>
            </w:r>
          </w:p>
        </w:tc>
        <w:tc>
          <w:tcPr>
            <w:tcW w:w="718" w:type="dxa"/>
            <w:hideMark/>
          </w:tcPr>
          <w:p w14:paraId="637BEBD5" w14:textId="77777777" w:rsidR="005333E9" w:rsidRPr="001225DD" w:rsidRDefault="005333E9" w:rsidP="00AA2133">
            <w:pPr>
              <w:pStyle w:val="RepStandard"/>
              <w:spacing w:before="120" w:after="120"/>
            </w:pPr>
            <w:r w:rsidRPr="001225DD">
              <w:t> </w:t>
            </w:r>
          </w:p>
        </w:tc>
        <w:tc>
          <w:tcPr>
            <w:tcW w:w="768" w:type="dxa"/>
            <w:hideMark/>
          </w:tcPr>
          <w:p w14:paraId="241326B1" w14:textId="77777777" w:rsidR="005333E9" w:rsidRPr="001225DD" w:rsidRDefault="005333E9" w:rsidP="00AA2133">
            <w:pPr>
              <w:pStyle w:val="RepStandard"/>
              <w:spacing w:before="120" w:after="120"/>
            </w:pPr>
            <w:r w:rsidRPr="001225DD">
              <w:t> </w:t>
            </w:r>
          </w:p>
        </w:tc>
        <w:tc>
          <w:tcPr>
            <w:tcW w:w="767" w:type="dxa"/>
            <w:hideMark/>
          </w:tcPr>
          <w:p w14:paraId="0DC025C0" w14:textId="77777777" w:rsidR="005333E9" w:rsidRPr="001225DD" w:rsidRDefault="005333E9" w:rsidP="00AA2133">
            <w:pPr>
              <w:pStyle w:val="RepStandard"/>
              <w:spacing w:before="120" w:after="120"/>
            </w:pPr>
            <w:r w:rsidRPr="001225DD">
              <w:t> </w:t>
            </w:r>
          </w:p>
        </w:tc>
        <w:tc>
          <w:tcPr>
            <w:tcW w:w="767" w:type="dxa"/>
          </w:tcPr>
          <w:p w14:paraId="1F74FB3D" w14:textId="77777777" w:rsidR="005333E9" w:rsidRPr="001225DD" w:rsidRDefault="005333E9" w:rsidP="00AA2133">
            <w:pPr>
              <w:pStyle w:val="RepStandard"/>
              <w:spacing w:before="120" w:after="120"/>
            </w:pPr>
          </w:p>
        </w:tc>
        <w:tc>
          <w:tcPr>
            <w:tcW w:w="768" w:type="dxa"/>
          </w:tcPr>
          <w:p w14:paraId="65D70762" w14:textId="77777777" w:rsidR="005333E9" w:rsidRPr="001225DD" w:rsidRDefault="005333E9" w:rsidP="00AA2133">
            <w:pPr>
              <w:pStyle w:val="RepStandard"/>
              <w:spacing w:before="120" w:after="120"/>
            </w:pPr>
          </w:p>
        </w:tc>
        <w:tc>
          <w:tcPr>
            <w:tcW w:w="767" w:type="dxa"/>
          </w:tcPr>
          <w:p w14:paraId="05432B99" w14:textId="77777777" w:rsidR="005333E9" w:rsidRPr="001225DD" w:rsidRDefault="005333E9" w:rsidP="00AA2133">
            <w:pPr>
              <w:pStyle w:val="RepStandard"/>
              <w:spacing w:before="120" w:after="120"/>
            </w:pPr>
          </w:p>
        </w:tc>
        <w:tc>
          <w:tcPr>
            <w:tcW w:w="767" w:type="dxa"/>
          </w:tcPr>
          <w:p w14:paraId="7CEC3CC2" w14:textId="77777777" w:rsidR="005333E9" w:rsidRPr="001225DD" w:rsidRDefault="005333E9" w:rsidP="00AA2133">
            <w:pPr>
              <w:pStyle w:val="RepStandard"/>
              <w:spacing w:before="120" w:after="120"/>
            </w:pPr>
          </w:p>
        </w:tc>
        <w:tc>
          <w:tcPr>
            <w:tcW w:w="768" w:type="dxa"/>
          </w:tcPr>
          <w:p w14:paraId="0DE3D6D1" w14:textId="77777777" w:rsidR="005333E9" w:rsidRPr="001225DD" w:rsidRDefault="005333E9" w:rsidP="00AA2133">
            <w:pPr>
              <w:pStyle w:val="RepStandard"/>
              <w:spacing w:before="120" w:after="120"/>
            </w:pPr>
          </w:p>
        </w:tc>
      </w:tr>
      <w:tr w:rsidR="005333E9" w:rsidRPr="001225DD" w14:paraId="435DDCF1" w14:textId="77777777" w:rsidTr="000A4436">
        <w:trPr>
          <w:trHeight w:val="375"/>
        </w:trPr>
        <w:tc>
          <w:tcPr>
            <w:tcW w:w="988" w:type="dxa"/>
            <w:hideMark/>
          </w:tcPr>
          <w:p w14:paraId="481B2AB6" w14:textId="77777777" w:rsidR="005333E9" w:rsidRPr="001E5BD6" w:rsidRDefault="005333E9" w:rsidP="00AA2133">
            <w:pPr>
              <w:pStyle w:val="RepStandard"/>
              <w:spacing w:before="120" w:after="120"/>
              <w:rPr>
                <w:b/>
              </w:rPr>
            </w:pPr>
            <w:r w:rsidRPr="001E5BD6">
              <w:rPr>
                <w:b/>
              </w:rPr>
              <w:t>50%</w:t>
            </w:r>
          </w:p>
        </w:tc>
        <w:tc>
          <w:tcPr>
            <w:tcW w:w="1168" w:type="dxa"/>
            <w:hideMark/>
          </w:tcPr>
          <w:p w14:paraId="554273A3" w14:textId="77777777" w:rsidR="005333E9" w:rsidRPr="001E5BD6" w:rsidRDefault="005333E9" w:rsidP="00AA2133">
            <w:pPr>
              <w:pStyle w:val="RepStandard"/>
              <w:spacing w:before="120" w:after="120"/>
              <w:rPr>
                <w:b/>
              </w:rPr>
            </w:pPr>
            <w:r w:rsidRPr="001E5BD6">
              <w:rPr>
                <w:b/>
              </w:rPr>
              <w:t> </w:t>
            </w:r>
          </w:p>
        </w:tc>
        <w:tc>
          <w:tcPr>
            <w:tcW w:w="816" w:type="dxa"/>
            <w:hideMark/>
          </w:tcPr>
          <w:p w14:paraId="715B2727" w14:textId="77777777" w:rsidR="005333E9" w:rsidRPr="001225DD" w:rsidRDefault="005333E9" w:rsidP="00AA2133">
            <w:pPr>
              <w:pStyle w:val="RepStandard"/>
              <w:spacing w:before="120" w:after="120"/>
            </w:pPr>
            <w:r w:rsidRPr="001225DD">
              <w:t> </w:t>
            </w:r>
          </w:p>
        </w:tc>
        <w:tc>
          <w:tcPr>
            <w:tcW w:w="718" w:type="dxa"/>
            <w:hideMark/>
          </w:tcPr>
          <w:p w14:paraId="50F9F56F" w14:textId="77777777" w:rsidR="005333E9" w:rsidRPr="001225DD" w:rsidRDefault="005333E9" w:rsidP="00AA2133">
            <w:pPr>
              <w:pStyle w:val="RepStandard"/>
              <w:spacing w:before="120" w:after="120"/>
            </w:pPr>
            <w:r w:rsidRPr="001225DD">
              <w:t> </w:t>
            </w:r>
          </w:p>
        </w:tc>
        <w:tc>
          <w:tcPr>
            <w:tcW w:w="768" w:type="dxa"/>
            <w:hideMark/>
          </w:tcPr>
          <w:p w14:paraId="20497D51" w14:textId="77777777" w:rsidR="005333E9" w:rsidRPr="001225DD" w:rsidRDefault="005333E9" w:rsidP="00AA2133">
            <w:pPr>
              <w:pStyle w:val="RepStandard"/>
              <w:spacing w:before="120" w:after="120"/>
            </w:pPr>
            <w:r w:rsidRPr="001225DD">
              <w:t> </w:t>
            </w:r>
          </w:p>
        </w:tc>
        <w:tc>
          <w:tcPr>
            <w:tcW w:w="767" w:type="dxa"/>
            <w:hideMark/>
          </w:tcPr>
          <w:p w14:paraId="3E5945AC" w14:textId="77777777" w:rsidR="005333E9" w:rsidRPr="001225DD" w:rsidRDefault="005333E9" w:rsidP="00AA2133">
            <w:pPr>
              <w:pStyle w:val="RepStandard"/>
              <w:spacing w:before="120" w:after="120"/>
            </w:pPr>
            <w:r w:rsidRPr="001225DD">
              <w:t> </w:t>
            </w:r>
          </w:p>
        </w:tc>
        <w:tc>
          <w:tcPr>
            <w:tcW w:w="767" w:type="dxa"/>
          </w:tcPr>
          <w:p w14:paraId="01D2A8A3" w14:textId="77777777" w:rsidR="005333E9" w:rsidRPr="001225DD" w:rsidRDefault="005333E9" w:rsidP="00AA2133">
            <w:pPr>
              <w:pStyle w:val="RepStandard"/>
              <w:spacing w:before="120" w:after="120"/>
            </w:pPr>
          </w:p>
        </w:tc>
        <w:tc>
          <w:tcPr>
            <w:tcW w:w="768" w:type="dxa"/>
          </w:tcPr>
          <w:p w14:paraId="099C1DD4" w14:textId="77777777" w:rsidR="005333E9" w:rsidRPr="001225DD" w:rsidRDefault="005333E9" w:rsidP="00AA2133">
            <w:pPr>
              <w:pStyle w:val="RepStandard"/>
              <w:spacing w:before="120" w:after="120"/>
            </w:pPr>
          </w:p>
        </w:tc>
        <w:tc>
          <w:tcPr>
            <w:tcW w:w="767" w:type="dxa"/>
          </w:tcPr>
          <w:p w14:paraId="453112BA" w14:textId="77777777" w:rsidR="005333E9" w:rsidRPr="001225DD" w:rsidRDefault="005333E9" w:rsidP="00AA2133">
            <w:pPr>
              <w:pStyle w:val="RepStandard"/>
              <w:spacing w:before="120" w:after="120"/>
            </w:pPr>
          </w:p>
        </w:tc>
        <w:tc>
          <w:tcPr>
            <w:tcW w:w="767" w:type="dxa"/>
          </w:tcPr>
          <w:p w14:paraId="06A849B3" w14:textId="77777777" w:rsidR="005333E9" w:rsidRPr="001225DD" w:rsidRDefault="005333E9" w:rsidP="00AA2133">
            <w:pPr>
              <w:pStyle w:val="RepStandard"/>
              <w:spacing w:before="120" w:after="120"/>
            </w:pPr>
          </w:p>
        </w:tc>
        <w:tc>
          <w:tcPr>
            <w:tcW w:w="768" w:type="dxa"/>
          </w:tcPr>
          <w:p w14:paraId="011FFDF2" w14:textId="77777777" w:rsidR="005333E9" w:rsidRPr="001225DD" w:rsidRDefault="005333E9" w:rsidP="00AA2133">
            <w:pPr>
              <w:pStyle w:val="RepStandard"/>
              <w:spacing w:before="120" w:after="120"/>
            </w:pPr>
          </w:p>
        </w:tc>
      </w:tr>
      <w:tr w:rsidR="005333E9" w:rsidRPr="001225DD" w14:paraId="060115F2" w14:textId="77777777" w:rsidTr="000A4436">
        <w:trPr>
          <w:trHeight w:val="375"/>
        </w:trPr>
        <w:tc>
          <w:tcPr>
            <w:tcW w:w="988" w:type="dxa"/>
            <w:hideMark/>
          </w:tcPr>
          <w:p w14:paraId="02F1F3F4" w14:textId="77777777" w:rsidR="005333E9" w:rsidRPr="001E5BD6" w:rsidRDefault="005333E9" w:rsidP="00AA2133">
            <w:pPr>
              <w:pStyle w:val="RepStandard"/>
              <w:spacing w:before="120" w:after="120"/>
              <w:rPr>
                <w:b/>
              </w:rPr>
            </w:pPr>
            <w:r w:rsidRPr="001E5BD6">
              <w:rPr>
                <w:b/>
              </w:rPr>
              <w:t>75%</w:t>
            </w:r>
          </w:p>
        </w:tc>
        <w:tc>
          <w:tcPr>
            <w:tcW w:w="1168" w:type="dxa"/>
            <w:hideMark/>
          </w:tcPr>
          <w:p w14:paraId="172893E3" w14:textId="77777777" w:rsidR="005333E9" w:rsidRPr="001E5BD6" w:rsidRDefault="005333E9" w:rsidP="00AA2133">
            <w:pPr>
              <w:pStyle w:val="RepStandard"/>
              <w:spacing w:before="120" w:after="120"/>
              <w:rPr>
                <w:b/>
              </w:rPr>
            </w:pPr>
            <w:r w:rsidRPr="001E5BD6">
              <w:rPr>
                <w:b/>
              </w:rPr>
              <w:t> </w:t>
            </w:r>
          </w:p>
        </w:tc>
        <w:tc>
          <w:tcPr>
            <w:tcW w:w="816" w:type="dxa"/>
            <w:hideMark/>
          </w:tcPr>
          <w:p w14:paraId="0ABE2072" w14:textId="77777777" w:rsidR="005333E9" w:rsidRPr="001225DD" w:rsidRDefault="005333E9" w:rsidP="00AA2133">
            <w:pPr>
              <w:pStyle w:val="RepStandard"/>
              <w:spacing w:before="120" w:after="120"/>
            </w:pPr>
            <w:r w:rsidRPr="001225DD">
              <w:t> </w:t>
            </w:r>
          </w:p>
        </w:tc>
        <w:tc>
          <w:tcPr>
            <w:tcW w:w="718" w:type="dxa"/>
            <w:hideMark/>
          </w:tcPr>
          <w:p w14:paraId="3AEF69A4" w14:textId="77777777" w:rsidR="005333E9" w:rsidRPr="001225DD" w:rsidRDefault="005333E9" w:rsidP="00AA2133">
            <w:pPr>
              <w:pStyle w:val="RepStandard"/>
              <w:spacing w:before="120" w:after="120"/>
            </w:pPr>
            <w:r w:rsidRPr="001225DD">
              <w:t> </w:t>
            </w:r>
          </w:p>
        </w:tc>
        <w:tc>
          <w:tcPr>
            <w:tcW w:w="768" w:type="dxa"/>
            <w:hideMark/>
          </w:tcPr>
          <w:p w14:paraId="0DB48336" w14:textId="77777777" w:rsidR="005333E9" w:rsidRPr="001225DD" w:rsidRDefault="005333E9" w:rsidP="00AA2133">
            <w:pPr>
              <w:pStyle w:val="RepStandard"/>
              <w:spacing w:before="120" w:after="120"/>
            </w:pPr>
            <w:r w:rsidRPr="001225DD">
              <w:t> </w:t>
            </w:r>
          </w:p>
        </w:tc>
        <w:tc>
          <w:tcPr>
            <w:tcW w:w="767" w:type="dxa"/>
            <w:hideMark/>
          </w:tcPr>
          <w:p w14:paraId="611A5ECB" w14:textId="77777777" w:rsidR="005333E9" w:rsidRPr="001225DD" w:rsidRDefault="005333E9" w:rsidP="00AA2133">
            <w:pPr>
              <w:pStyle w:val="RepStandard"/>
              <w:spacing w:before="120" w:after="120"/>
            </w:pPr>
            <w:r w:rsidRPr="001225DD">
              <w:t> </w:t>
            </w:r>
          </w:p>
        </w:tc>
        <w:tc>
          <w:tcPr>
            <w:tcW w:w="767" w:type="dxa"/>
          </w:tcPr>
          <w:p w14:paraId="4BB38A15" w14:textId="77777777" w:rsidR="005333E9" w:rsidRPr="001225DD" w:rsidRDefault="005333E9" w:rsidP="00AA2133">
            <w:pPr>
              <w:pStyle w:val="RepStandard"/>
              <w:spacing w:before="120" w:after="120"/>
            </w:pPr>
          </w:p>
        </w:tc>
        <w:tc>
          <w:tcPr>
            <w:tcW w:w="768" w:type="dxa"/>
          </w:tcPr>
          <w:p w14:paraId="41C51687" w14:textId="77777777" w:rsidR="005333E9" w:rsidRPr="001225DD" w:rsidRDefault="005333E9" w:rsidP="00AA2133">
            <w:pPr>
              <w:pStyle w:val="RepStandard"/>
              <w:spacing w:before="120" w:after="120"/>
            </w:pPr>
          </w:p>
        </w:tc>
        <w:tc>
          <w:tcPr>
            <w:tcW w:w="767" w:type="dxa"/>
          </w:tcPr>
          <w:p w14:paraId="40FE1D26" w14:textId="77777777" w:rsidR="005333E9" w:rsidRPr="001225DD" w:rsidRDefault="005333E9" w:rsidP="00AA2133">
            <w:pPr>
              <w:pStyle w:val="RepStandard"/>
              <w:spacing w:before="120" w:after="120"/>
            </w:pPr>
          </w:p>
        </w:tc>
        <w:tc>
          <w:tcPr>
            <w:tcW w:w="767" w:type="dxa"/>
          </w:tcPr>
          <w:p w14:paraId="6FB1080E" w14:textId="77777777" w:rsidR="005333E9" w:rsidRPr="001225DD" w:rsidRDefault="005333E9" w:rsidP="00AA2133">
            <w:pPr>
              <w:pStyle w:val="RepStandard"/>
              <w:spacing w:before="120" w:after="120"/>
            </w:pPr>
          </w:p>
        </w:tc>
        <w:tc>
          <w:tcPr>
            <w:tcW w:w="768" w:type="dxa"/>
          </w:tcPr>
          <w:p w14:paraId="758EE556" w14:textId="77777777" w:rsidR="005333E9" w:rsidRPr="001225DD" w:rsidRDefault="005333E9" w:rsidP="00AA2133">
            <w:pPr>
              <w:pStyle w:val="RepStandard"/>
              <w:spacing w:before="120" w:after="120"/>
            </w:pPr>
          </w:p>
        </w:tc>
      </w:tr>
      <w:tr w:rsidR="005333E9" w:rsidRPr="001225DD" w14:paraId="3A335021" w14:textId="77777777" w:rsidTr="000A4436">
        <w:trPr>
          <w:trHeight w:val="375"/>
        </w:trPr>
        <w:tc>
          <w:tcPr>
            <w:tcW w:w="988" w:type="dxa"/>
            <w:hideMark/>
          </w:tcPr>
          <w:p w14:paraId="72B3A892" w14:textId="77777777" w:rsidR="005333E9" w:rsidRPr="001E5BD6" w:rsidRDefault="005333E9" w:rsidP="00AA2133">
            <w:pPr>
              <w:pStyle w:val="RepStandard"/>
              <w:spacing w:before="120" w:after="120"/>
              <w:rPr>
                <w:b/>
              </w:rPr>
            </w:pPr>
            <w:r w:rsidRPr="001E5BD6">
              <w:rPr>
                <w:b/>
              </w:rPr>
              <w:t>90%</w:t>
            </w:r>
          </w:p>
        </w:tc>
        <w:tc>
          <w:tcPr>
            <w:tcW w:w="1168" w:type="dxa"/>
            <w:hideMark/>
          </w:tcPr>
          <w:p w14:paraId="7156EA10" w14:textId="77777777" w:rsidR="005333E9" w:rsidRPr="001E5BD6" w:rsidRDefault="005333E9" w:rsidP="00AA2133">
            <w:pPr>
              <w:pStyle w:val="RepStandard"/>
              <w:spacing w:before="120" w:after="120"/>
              <w:rPr>
                <w:b/>
              </w:rPr>
            </w:pPr>
            <w:r w:rsidRPr="001E5BD6">
              <w:rPr>
                <w:b/>
              </w:rPr>
              <w:t> </w:t>
            </w:r>
          </w:p>
        </w:tc>
        <w:tc>
          <w:tcPr>
            <w:tcW w:w="816" w:type="dxa"/>
            <w:hideMark/>
          </w:tcPr>
          <w:p w14:paraId="2E5E5FED" w14:textId="77777777" w:rsidR="005333E9" w:rsidRPr="001225DD" w:rsidRDefault="005333E9" w:rsidP="00AA2133">
            <w:pPr>
              <w:pStyle w:val="RepStandard"/>
              <w:spacing w:before="120" w:after="120"/>
            </w:pPr>
            <w:r w:rsidRPr="001225DD">
              <w:t> </w:t>
            </w:r>
          </w:p>
        </w:tc>
        <w:tc>
          <w:tcPr>
            <w:tcW w:w="718" w:type="dxa"/>
            <w:hideMark/>
          </w:tcPr>
          <w:p w14:paraId="7592C12A" w14:textId="77777777" w:rsidR="005333E9" w:rsidRPr="001225DD" w:rsidRDefault="005333E9" w:rsidP="00AA2133">
            <w:pPr>
              <w:pStyle w:val="RepStandard"/>
              <w:spacing w:before="120" w:after="120"/>
            </w:pPr>
            <w:r w:rsidRPr="001225DD">
              <w:t> </w:t>
            </w:r>
          </w:p>
        </w:tc>
        <w:tc>
          <w:tcPr>
            <w:tcW w:w="768" w:type="dxa"/>
            <w:hideMark/>
          </w:tcPr>
          <w:p w14:paraId="1A095FB2" w14:textId="77777777" w:rsidR="005333E9" w:rsidRPr="001225DD" w:rsidRDefault="005333E9" w:rsidP="00AA2133">
            <w:pPr>
              <w:pStyle w:val="RepStandard"/>
              <w:spacing w:before="120" w:after="120"/>
            </w:pPr>
            <w:r w:rsidRPr="001225DD">
              <w:t> </w:t>
            </w:r>
          </w:p>
        </w:tc>
        <w:tc>
          <w:tcPr>
            <w:tcW w:w="767" w:type="dxa"/>
            <w:hideMark/>
          </w:tcPr>
          <w:p w14:paraId="74A8F7D1" w14:textId="77777777" w:rsidR="005333E9" w:rsidRPr="001225DD" w:rsidRDefault="005333E9" w:rsidP="00AA2133">
            <w:pPr>
              <w:pStyle w:val="RepStandard"/>
              <w:spacing w:before="120" w:after="120"/>
            </w:pPr>
            <w:r w:rsidRPr="001225DD">
              <w:t> </w:t>
            </w:r>
          </w:p>
        </w:tc>
        <w:tc>
          <w:tcPr>
            <w:tcW w:w="767" w:type="dxa"/>
          </w:tcPr>
          <w:p w14:paraId="11380A0F" w14:textId="77777777" w:rsidR="005333E9" w:rsidRPr="001225DD" w:rsidRDefault="005333E9" w:rsidP="00AA2133">
            <w:pPr>
              <w:pStyle w:val="RepStandard"/>
              <w:spacing w:before="120" w:after="120"/>
            </w:pPr>
          </w:p>
        </w:tc>
        <w:tc>
          <w:tcPr>
            <w:tcW w:w="768" w:type="dxa"/>
          </w:tcPr>
          <w:p w14:paraId="2DE6A21D" w14:textId="77777777" w:rsidR="005333E9" w:rsidRPr="001225DD" w:rsidRDefault="005333E9" w:rsidP="00AA2133">
            <w:pPr>
              <w:pStyle w:val="RepStandard"/>
              <w:spacing w:before="120" w:after="120"/>
            </w:pPr>
          </w:p>
        </w:tc>
        <w:tc>
          <w:tcPr>
            <w:tcW w:w="767" w:type="dxa"/>
          </w:tcPr>
          <w:p w14:paraId="03E60303" w14:textId="77777777" w:rsidR="005333E9" w:rsidRPr="001225DD" w:rsidRDefault="005333E9" w:rsidP="00AA2133">
            <w:pPr>
              <w:pStyle w:val="RepStandard"/>
              <w:spacing w:before="120" w:after="120"/>
            </w:pPr>
          </w:p>
        </w:tc>
        <w:tc>
          <w:tcPr>
            <w:tcW w:w="767" w:type="dxa"/>
          </w:tcPr>
          <w:p w14:paraId="2A0E40B7" w14:textId="77777777" w:rsidR="005333E9" w:rsidRPr="001225DD" w:rsidRDefault="005333E9" w:rsidP="00AA2133">
            <w:pPr>
              <w:pStyle w:val="RepStandard"/>
              <w:spacing w:before="120" w:after="120"/>
            </w:pPr>
          </w:p>
        </w:tc>
        <w:tc>
          <w:tcPr>
            <w:tcW w:w="768" w:type="dxa"/>
          </w:tcPr>
          <w:p w14:paraId="7FD56FEA" w14:textId="77777777" w:rsidR="005333E9" w:rsidRPr="001225DD" w:rsidRDefault="005333E9" w:rsidP="00AA2133">
            <w:pPr>
              <w:pStyle w:val="RepStandard"/>
              <w:spacing w:before="120" w:after="120"/>
            </w:pPr>
          </w:p>
        </w:tc>
      </w:tr>
    </w:tbl>
    <w:p w14:paraId="5D95E006" w14:textId="25605A27" w:rsidR="005333E9" w:rsidRDefault="005333E9" w:rsidP="00AA2133">
      <w:pPr>
        <w:spacing w:before="120" w:after="120" w:line="259" w:lineRule="auto"/>
      </w:pPr>
    </w:p>
    <w:sectPr w:rsidR="005333E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2DBF7" w14:textId="77777777" w:rsidR="00D5790F" w:rsidRDefault="00D5790F" w:rsidP="00857C60">
      <w:r>
        <w:separator/>
      </w:r>
    </w:p>
  </w:endnote>
  <w:endnote w:type="continuationSeparator" w:id="0">
    <w:p w14:paraId="75D47CAD" w14:textId="77777777" w:rsidR="00D5790F" w:rsidRDefault="00D5790F" w:rsidP="0085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F0211" w14:textId="77777777" w:rsidR="00D5790F" w:rsidRDefault="00D5790F" w:rsidP="00857C60">
      <w:r>
        <w:separator/>
      </w:r>
    </w:p>
  </w:footnote>
  <w:footnote w:type="continuationSeparator" w:id="0">
    <w:p w14:paraId="58798E94" w14:textId="77777777" w:rsidR="00D5790F" w:rsidRDefault="00D5790F" w:rsidP="00857C60">
      <w:r>
        <w:continuationSeparator/>
      </w:r>
    </w:p>
  </w:footnote>
  <w:footnote w:id="1">
    <w:p w14:paraId="74848BF5" w14:textId="7DECBEAC" w:rsidR="00D5790F" w:rsidRPr="00795C69" w:rsidRDefault="00D5790F" w:rsidP="008D3BDA">
      <w:pPr>
        <w:pStyle w:val="Funotentext"/>
      </w:pPr>
      <w:r>
        <w:rPr>
          <w:rStyle w:val="Funotenzeichen"/>
        </w:rPr>
        <w:footnoteRef/>
      </w:r>
      <w:r>
        <w:t>Sometimes a</w:t>
      </w:r>
      <w:r w:rsidRPr="00857C60">
        <w:t>lso</w:t>
      </w:r>
      <w:r>
        <w:t xml:space="preserve"> termed </w:t>
      </w:r>
      <w:r w:rsidRPr="00D16FB5">
        <w:t xml:space="preserve">“Aquatic </w:t>
      </w:r>
      <w:proofErr w:type="spellStart"/>
      <w:r w:rsidRPr="00D16FB5">
        <w:t>MixTox</w:t>
      </w:r>
      <w:proofErr w:type="spellEnd"/>
      <w:r w:rsidRPr="00D16FB5">
        <w:t xml:space="preserve"> Tool”</w:t>
      </w:r>
      <w:r>
        <w:t xml:space="preserve">. The current version can be found </w:t>
      </w:r>
      <w:r w:rsidRPr="00857C60">
        <w:t>on the EFSA Knowledge Junction platform</w:t>
      </w:r>
      <w:r>
        <w:t>,</w:t>
      </w:r>
      <w:r w:rsidRPr="00857C60">
        <w:t xml:space="preserve"> DOI</w:t>
      </w:r>
      <w:r w:rsidRPr="00795C69">
        <w:t>:</w:t>
      </w:r>
      <w:r>
        <w:t xml:space="preserve"> </w:t>
      </w:r>
      <w:r w:rsidR="0021450C">
        <w:rPr>
          <w:rFonts w:ascii="Arial" w:hAnsi="Arial" w:cs="Arial"/>
          <w:color w:val="333333"/>
          <w:sz w:val="18"/>
          <w:szCs w:val="18"/>
          <w:shd w:val="clear" w:color="auto" w:fill="F5F5F5"/>
        </w:rPr>
        <w:t> </w:t>
      </w:r>
      <w:r w:rsidR="0021450C">
        <w:rPr>
          <w:lang w:val="de-DE"/>
        </w:rPr>
        <w:fldChar w:fldCharType="begin"/>
      </w:r>
      <w:r w:rsidR="0021450C" w:rsidRPr="0021450C">
        <w:rPr>
          <w:lang w:val="en-GB"/>
        </w:rPr>
        <w:instrText xml:space="preserve"> HYPERLINK "https://doi.org/10.5281/zenodo.4593675" </w:instrText>
      </w:r>
      <w:r w:rsidR="0021450C">
        <w:rPr>
          <w:lang w:val="de-DE"/>
        </w:rPr>
        <w:fldChar w:fldCharType="separate"/>
      </w:r>
      <w:r w:rsidR="0021450C">
        <w:rPr>
          <w:rStyle w:val="Hyperlink"/>
          <w:rFonts w:ascii="Arial" w:hAnsi="Arial" w:cs="Arial"/>
          <w:color w:val="428BCA"/>
          <w:sz w:val="18"/>
          <w:szCs w:val="18"/>
          <w:shd w:val="clear" w:color="auto" w:fill="F5F5F5"/>
        </w:rPr>
        <w:t>10.5281/zenodo.4</w:t>
      </w:r>
      <w:bookmarkStart w:id="4" w:name="_GoBack"/>
      <w:bookmarkEnd w:id="4"/>
      <w:r w:rsidR="0021450C">
        <w:rPr>
          <w:rStyle w:val="Hyperlink"/>
          <w:rFonts w:ascii="Arial" w:hAnsi="Arial" w:cs="Arial"/>
          <w:color w:val="428BCA"/>
          <w:sz w:val="18"/>
          <w:szCs w:val="18"/>
          <w:shd w:val="clear" w:color="auto" w:fill="F5F5F5"/>
        </w:rPr>
        <w:t>5</w:t>
      </w:r>
      <w:r w:rsidR="0021450C">
        <w:rPr>
          <w:rStyle w:val="Hyperlink"/>
          <w:rFonts w:ascii="Arial" w:hAnsi="Arial" w:cs="Arial"/>
          <w:color w:val="428BCA"/>
          <w:sz w:val="18"/>
          <w:szCs w:val="18"/>
          <w:shd w:val="clear" w:color="auto" w:fill="F5F5F5"/>
        </w:rPr>
        <w:t>93675</w:t>
      </w:r>
      <w:r w:rsidR="0021450C">
        <w:rPr>
          <w:lang w:val="de-DE"/>
        </w:rPr>
        <w:fldChar w:fldCharType="end"/>
      </w:r>
      <w:r>
        <w:t xml:space="preserve"> </w:t>
      </w:r>
      <w:r w:rsidRPr="00937060">
        <w:t>(</w:t>
      </w:r>
      <w:hyperlink r:id="rId1" w:history="1">
        <w:r w:rsidRPr="00EE5667">
          <w:rPr>
            <w:rStyle w:val="Hyperlink"/>
            <w:color w:val="auto"/>
            <w:u w:val="none"/>
          </w:rPr>
          <w:t xml:space="preserve">Aquatic Mixture Toxicity Tool and additional Information | </w:t>
        </w:r>
        <w:proofErr w:type="spellStart"/>
        <w:r w:rsidRPr="00EE5667">
          <w:rPr>
            <w:rStyle w:val="Hyperlink"/>
            <w:color w:val="auto"/>
            <w:u w:val="none"/>
          </w:rPr>
          <w:t>Zenodo</w:t>
        </w:r>
        <w:proofErr w:type="spellEnd"/>
      </w:hyperlink>
      <w:r w:rsidRPr="00EE5667">
        <w:rPr>
          <w:rStyle w:val="Hyperlink"/>
          <w:color w:val="auto"/>
          <w:u w:val="none"/>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E86642A"/>
    <w:lvl w:ilvl="0">
      <w:start w:val="1"/>
      <w:numFmt w:val="bullet"/>
      <w:pStyle w:val="Aufzhlungszeichen"/>
      <w:lvlText w:val=""/>
      <w:lvlJc w:val="left"/>
      <w:pPr>
        <w:tabs>
          <w:tab w:val="num" w:pos="643"/>
        </w:tabs>
        <w:ind w:left="643" w:hanging="360"/>
      </w:pPr>
      <w:rPr>
        <w:rFonts w:ascii="Symbol" w:hAnsi="Symbol" w:hint="default"/>
      </w:rPr>
    </w:lvl>
  </w:abstractNum>
  <w:abstractNum w:abstractNumId="1" w15:restartNumberingAfterBreak="0">
    <w:nsid w:val="03D94486"/>
    <w:multiLevelType w:val="multilevel"/>
    <w:tmpl w:val="4470FB18"/>
    <w:lvl w:ilvl="0">
      <w:start w:val="9"/>
      <w:numFmt w:val="decimal"/>
      <w:lvlText w:val="%1"/>
      <w:lvlJc w:val="left"/>
      <w:pPr>
        <w:tabs>
          <w:tab w:val="num" w:pos="1417"/>
        </w:tabs>
        <w:ind w:left="1417" w:hanging="1417"/>
      </w:pPr>
      <w:rPr>
        <w:rFonts w:hint="default"/>
      </w:rPr>
    </w:lvl>
    <w:lvl w:ilvl="1">
      <w:start w:val="5"/>
      <w:numFmt w:val="decimal"/>
      <w:pStyle w:val="berschrift2"/>
      <w:lvlText w:val="%1.%2"/>
      <w:lvlJc w:val="left"/>
      <w:pPr>
        <w:tabs>
          <w:tab w:val="num" w:pos="1417"/>
        </w:tabs>
        <w:ind w:left="1417" w:hanging="1417"/>
      </w:pPr>
      <w:rPr>
        <w:rFonts w:hint="default"/>
      </w:rPr>
    </w:lvl>
    <w:lvl w:ilvl="2">
      <w:start w:val="2"/>
      <w:numFmt w:val="decimal"/>
      <w:pStyle w:val="berschrift3"/>
      <w:lvlText w:val="%1.%2.%3"/>
      <w:lvlJc w:val="left"/>
      <w:pPr>
        <w:tabs>
          <w:tab w:val="num" w:pos="1417"/>
        </w:tabs>
        <w:ind w:left="1417" w:hanging="1417"/>
      </w:pPr>
      <w:rPr>
        <w:rFonts w:hint="default"/>
      </w:rPr>
    </w:lvl>
    <w:lvl w:ilvl="3">
      <w:start w:val="1"/>
      <w:numFmt w:val="decimal"/>
      <w:pStyle w:val="berschrift4"/>
      <w:lvlText w:val="%1.%2.%3.%4"/>
      <w:lvlJc w:val="left"/>
      <w:pPr>
        <w:tabs>
          <w:tab w:val="num" w:pos="1417"/>
        </w:tabs>
        <w:ind w:left="1417" w:hanging="141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0152C96"/>
    <w:multiLevelType w:val="hybridMultilevel"/>
    <w:tmpl w:val="DE723B04"/>
    <w:lvl w:ilvl="0" w:tplc="04070001">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3CA611F"/>
    <w:multiLevelType w:val="hybridMultilevel"/>
    <w:tmpl w:val="01F69F9E"/>
    <w:lvl w:ilvl="0" w:tplc="9034A94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15D082C"/>
    <w:multiLevelType w:val="hybridMultilevel"/>
    <w:tmpl w:val="183CFD0A"/>
    <w:lvl w:ilvl="0" w:tplc="5B924F5E">
      <w:start w:val="1"/>
      <w:numFmt w:val="lowerLetter"/>
      <w:lvlText w:val="%1)"/>
      <w:lvlJc w:val="left"/>
      <w:pPr>
        <w:ind w:left="1128" w:hanging="360"/>
      </w:pPr>
      <w:rPr>
        <w:rFonts w:hint="default"/>
      </w:rPr>
    </w:lvl>
    <w:lvl w:ilvl="1" w:tplc="04070019" w:tentative="1">
      <w:start w:val="1"/>
      <w:numFmt w:val="lowerLetter"/>
      <w:lvlText w:val="%2."/>
      <w:lvlJc w:val="left"/>
      <w:pPr>
        <w:ind w:left="1848" w:hanging="360"/>
      </w:pPr>
    </w:lvl>
    <w:lvl w:ilvl="2" w:tplc="0407001B" w:tentative="1">
      <w:start w:val="1"/>
      <w:numFmt w:val="lowerRoman"/>
      <w:lvlText w:val="%3."/>
      <w:lvlJc w:val="right"/>
      <w:pPr>
        <w:ind w:left="2568" w:hanging="180"/>
      </w:pPr>
    </w:lvl>
    <w:lvl w:ilvl="3" w:tplc="0407000F" w:tentative="1">
      <w:start w:val="1"/>
      <w:numFmt w:val="decimal"/>
      <w:lvlText w:val="%4."/>
      <w:lvlJc w:val="left"/>
      <w:pPr>
        <w:ind w:left="3288" w:hanging="360"/>
      </w:pPr>
    </w:lvl>
    <w:lvl w:ilvl="4" w:tplc="04070019" w:tentative="1">
      <w:start w:val="1"/>
      <w:numFmt w:val="lowerLetter"/>
      <w:lvlText w:val="%5."/>
      <w:lvlJc w:val="left"/>
      <w:pPr>
        <w:ind w:left="4008" w:hanging="360"/>
      </w:pPr>
    </w:lvl>
    <w:lvl w:ilvl="5" w:tplc="0407001B" w:tentative="1">
      <w:start w:val="1"/>
      <w:numFmt w:val="lowerRoman"/>
      <w:lvlText w:val="%6."/>
      <w:lvlJc w:val="right"/>
      <w:pPr>
        <w:ind w:left="4728" w:hanging="180"/>
      </w:pPr>
    </w:lvl>
    <w:lvl w:ilvl="6" w:tplc="0407000F" w:tentative="1">
      <w:start w:val="1"/>
      <w:numFmt w:val="decimal"/>
      <w:lvlText w:val="%7."/>
      <w:lvlJc w:val="left"/>
      <w:pPr>
        <w:ind w:left="5448" w:hanging="360"/>
      </w:pPr>
    </w:lvl>
    <w:lvl w:ilvl="7" w:tplc="04070019" w:tentative="1">
      <w:start w:val="1"/>
      <w:numFmt w:val="lowerLetter"/>
      <w:lvlText w:val="%8."/>
      <w:lvlJc w:val="left"/>
      <w:pPr>
        <w:ind w:left="6168" w:hanging="360"/>
      </w:pPr>
    </w:lvl>
    <w:lvl w:ilvl="8" w:tplc="0407001B" w:tentative="1">
      <w:start w:val="1"/>
      <w:numFmt w:val="lowerRoman"/>
      <w:lvlText w:val="%9."/>
      <w:lvlJc w:val="right"/>
      <w:pPr>
        <w:ind w:left="6888" w:hanging="180"/>
      </w:pPr>
    </w:lvl>
  </w:abstractNum>
  <w:abstractNum w:abstractNumId="5" w15:restartNumberingAfterBreak="0">
    <w:nsid w:val="61A25C56"/>
    <w:multiLevelType w:val="hybridMultilevel"/>
    <w:tmpl w:val="D9A42622"/>
    <w:lvl w:ilvl="0" w:tplc="FE14E30C">
      <w:start w:val="1"/>
      <w:numFmt w:val="bullet"/>
      <w:lvlText w:val=""/>
      <w:lvlJc w:val="left"/>
      <w:pPr>
        <w:ind w:left="360" w:hanging="360"/>
      </w:pPr>
      <w:rPr>
        <w:rFonts w:ascii="Wingdings" w:eastAsia="Times New Roman" w:hAnsi="Wingdings" w:cs="Times New Roman" w:hint="default"/>
        <w:b w:val="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71C96972"/>
    <w:multiLevelType w:val="hybridMultilevel"/>
    <w:tmpl w:val="F7D8CAF0"/>
    <w:lvl w:ilvl="0" w:tplc="063A1BFC">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49A"/>
    <w:rsid w:val="00000E6B"/>
    <w:rsid w:val="00007ABC"/>
    <w:rsid w:val="00035FC4"/>
    <w:rsid w:val="00041ED8"/>
    <w:rsid w:val="0005449A"/>
    <w:rsid w:val="00055DED"/>
    <w:rsid w:val="00080FCD"/>
    <w:rsid w:val="000A4436"/>
    <w:rsid w:val="000B78F8"/>
    <w:rsid w:val="000C0812"/>
    <w:rsid w:val="000C188C"/>
    <w:rsid w:val="000D20AF"/>
    <w:rsid w:val="000E12B5"/>
    <w:rsid w:val="000E367D"/>
    <w:rsid w:val="000E6F4F"/>
    <w:rsid w:val="000F1174"/>
    <w:rsid w:val="00112DFF"/>
    <w:rsid w:val="001417BB"/>
    <w:rsid w:val="00160A77"/>
    <w:rsid w:val="00182F16"/>
    <w:rsid w:val="00184FE8"/>
    <w:rsid w:val="001A5744"/>
    <w:rsid w:val="001B10FA"/>
    <w:rsid w:val="001C3641"/>
    <w:rsid w:val="001C6CC2"/>
    <w:rsid w:val="001C74F5"/>
    <w:rsid w:val="001E0425"/>
    <w:rsid w:val="001E6D95"/>
    <w:rsid w:val="001F1DB6"/>
    <w:rsid w:val="00200332"/>
    <w:rsid w:val="0021450C"/>
    <w:rsid w:val="00222384"/>
    <w:rsid w:val="002225F9"/>
    <w:rsid w:val="002374A4"/>
    <w:rsid w:val="00237A72"/>
    <w:rsid w:val="00237CF5"/>
    <w:rsid w:val="00272698"/>
    <w:rsid w:val="002A3455"/>
    <w:rsid w:val="002A72F0"/>
    <w:rsid w:val="002C6C5E"/>
    <w:rsid w:val="002E74CF"/>
    <w:rsid w:val="00312D78"/>
    <w:rsid w:val="00316F03"/>
    <w:rsid w:val="00325A3E"/>
    <w:rsid w:val="00326009"/>
    <w:rsid w:val="003266A8"/>
    <w:rsid w:val="00336BEA"/>
    <w:rsid w:val="003370A7"/>
    <w:rsid w:val="00347333"/>
    <w:rsid w:val="00355147"/>
    <w:rsid w:val="003820C7"/>
    <w:rsid w:val="00382AD4"/>
    <w:rsid w:val="00391F66"/>
    <w:rsid w:val="00392ECB"/>
    <w:rsid w:val="003D5C43"/>
    <w:rsid w:val="003E7E54"/>
    <w:rsid w:val="003F24D2"/>
    <w:rsid w:val="003F63D5"/>
    <w:rsid w:val="003F6DDE"/>
    <w:rsid w:val="003F7DB0"/>
    <w:rsid w:val="00401A62"/>
    <w:rsid w:val="00403CA7"/>
    <w:rsid w:val="00412DA2"/>
    <w:rsid w:val="00426ADB"/>
    <w:rsid w:val="004321BD"/>
    <w:rsid w:val="00433F6A"/>
    <w:rsid w:val="00435090"/>
    <w:rsid w:val="0043677C"/>
    <w:rsid w:val="00437428"/>
    <w:rsid w:val="00440DBF"/>
    <w:rsid w:val="00452CEC"/>
    <w:rsid w:val="004608D9"/>
    <w:rsid w:val="00462FB8"/>
    <w:rsid w:val="00483C9C"/>
    <w:rsid w:val="00491B58"/>
    <w:rsid w:val="004B1966"/>
    <w:rsid w:val="004B3C61"/>
    <w:rsid w:val="004D28F5"/>
    <w:rsid w:val="004F0514"/>
    <w:rsid w:val="004F47C0"/>
    <w:rsid w:val="004F4C90"/>
    <w:rsid w:val="00516E9B"/>
    <w:rsid w:val="00517EEC"/>
    <w:rsid w:val="00531E1F"/>
    <w:rsid w:val="00532E79"/>
    <w:rsid w:val="005333E9"/>
    <w:rsid w:val="00534C00"/>
    <w:rsid w:val="00535CB1"/>
    <w:rsid w:val="005551F4"/>
    <w:rsid w:val="00566B73"/>
    <w:rsid w:val="00573B58"/>
    <w:rsid w:val="005857C8"/>
    <w:rsid w:val="00593D53"/>
    <w:rsid w:val="005940A2"/>
    <w:rsid w:val="005A34BE"/>
    <w:rsid w:val="005B31E1"/>
    <w:rsid w:val="005F059B"/>
    <w:rsid w:val="005F2574"/>
    <w:rsid w:val="005F4290"/>
    <w:rsid w:val="005F44E0"/>
    <w:rsid w:val="005F594C"/>
    <w:rsid w:val="006118E8"/>
    <w:rsid w:val="00613169"/>
    <w:rsid w:val="00635AB9"/>
    <w:rsid w:val="0064123C"/>
    <w:rsid w:val="00644686"/>
    <w:rsid w:val="00646780"/>
    <w:rsid w:val="00661020"/>
    <w:rsid w:val="00661566"/>
    <w:rsid w:val="0066198A"/>
    <w:rsid w:val="00681BB2"/>
    <w:rsid w:val="006957EF"/>
    <w:rsid w:val="006A6EC4"/>
    <w:rsid w:val="006B6435"/>
    <w:rsid w:val="006B749C"/>
    <w:rsid w:val="006C1DF1"/>
    <w:rsid w:val="006F3C4C"/>
    <w:rsid w:val="006F45F9"/>
    <w:rsid w:val="00722436"/>
    <w:rsid w:val="00731D5C"/>
    <w:rsid w:val="00737235"/>
    <w:rsid w:val="007414DD"/>
    <w:rsid w:val="00795C69"/>
    <w:rsid w:val="007C126B"/>
    <w:rsid w:val="007C2517"/>
    <w:rsid w:val="007C553D"/>
    <w:rsid w:val="007D1FBC"/>
    <w:rsid w:val="007D5011"/>
    <w:rsid w:val="007D52DC"/>
    <w:rsid w:val="007E32E5"/>
    <w:rsid w:val="007E5751"/>
    <w:rsid w:val="007E5809"/>
    <w:rsid w:val="007F0414"/>
    <w:rsid w:val="007F45D7"/>
    <w:rsid w:val="00807F5F"/>
    <w:rsid w:val="008101DA"/>
    <w:rsid w:val="00810CDF"/>
    <w:rsid w:val="0081795F"/>
    <w:rsid w:val="00820895"/>
    <w:rsid w:val="0082796A"/>
    <w:rsid w:val="0083218D"/>
    <w:rsid w:val="00834E5F"/>
    <w:rsid w:val="008406B2"/>
    <w:rsid w:val="00841723"/>
    <w:rsid w:val="00856827"/>
    <w:rsid w:val="00857C60"/>
    <w:rsid w:val="00875E1C"/>
    <w:rsid w:val="008934D7"/>
    <w:rsid w:val="008A1319"/>
    <w:rsid w:val="008A2388"/>
    <w:rsid w:val="008D3435"/>
    <w:rsid w:val="008D3BDA"/>
    <w:rsid w:val="008D53B1"/>
    <w:rsid w:val="008D651B"/>
    <w:rsid w:val="008E0A17"/>
    <w:rsid w:val="008E23F0"/>
    <w:rsid w:val="008F133A"/>
    <w:rsid w:val="008F7E71"/>
    <w:rsid w:val="00905205"/>
    <w:rsid w:val="00905725"/>
    <w:rsid w:val="00937060"/>
    <w:rsid w:val="00952BC2"/>
    <w:rsid w:val="00954D36"/>
    <w:rsid w:val="00976818"/>
    <w:rsid w:val="00987849"/>
    <w:rsid w:val="009D17EC"/>
    <w:rsid w:val="009E0875"/>
    <w:rsid w:val="009E64A5"/>
    <w:rsid w:val="009F32DA"/>
    <w:rsid w:val="009F4218"/>
    <w:rsid w:val="009F565C"/>
    <w:rsid w:val="00A00B18"/>
    <w:rsid w:val="00A03776"/>
    <w:rsid w:val="00A200F7"/>
    <w:rsid w:val="00A22838"/>
    <w:rsid w:val="00A442FB"/>
    <w:rsid w:val="00A45426"/>
    <w:rsid w:val="00A76CE7"/>
    <w:rsid w:val="00A80CB6"/>
    <w:rsid w:val="00A9214B"/>
    <w:rsid w:val="00A963A9"/>
    <w:rsid w:val="00AA0E98"/>
    <w:rsid w:val="00AA2133"/>
    <w:rsid w:val="00AB1818"/>
    <w:rsid w:val="00AC42AD"/>
    <w:rsid w:val="00AF40FE"/>
    <w:rsid w:val="00B01FF4"/>
    <w:rsid w:val="00B05DA5"/>
    <w:rsid w:val="00B06651"/>
    <w:rsid w:val="00B07E73"/>
    <w:rsid w:val="00B133E7"/>
    <w:rsid w:val="00B16994"/>
    <w:rsid w:val="00B321AF"/>
    <w:rsid w:val="00B411F2"/>
    <w:rsid w:val="00B42C5B"/>
    <w:rsid w:val="00B45C1A"/>
    <w:rsid w:val="00B77B29"/>
    <w:rsid w:val="00BA0DD7"/>
    <w:rsid w:val="00BA39D2"/>
    <w:rsid w:val="00BB002C"/>
    <w:rsid w:val="00BB2333"/>
    <w:rsid w:val="00BB2FD7"/>
    <w:rsid w:val="00BC26FA"/>
    <w:rsid w:val="00BE76D4"/>
    <w:rsid w:val="00C17001"/>
    <w:rsid w:val="00C229AE"/>
    <w:rsid w:val="00C269A1"/>
    <w:rsid w:val="00C26C28"/>
    <w:rsid w:val="00C345D2"/>
    <w:rsid w:val="00C43F4B"/>
    <w:rsid w:val="00C47667"/>
    <w:rsid w:val="00C70C8F"/>
    <w:rsid w:val="00C9342E"/>
    <w:rsid w:val="00C96ED4"/>
    <w:rsid w:val="00CD0ECA"/>
    <w:rsid w:val="00D0012F"/>
    <w:rsid w:val="00D1295F"/>
    <w:rsid w:val="00D16F0B"/>
    <w:rsid w:val="00D16FB5"/>
    <w:rsid w:val="00D5790F"/>
    <w:rsid w:val="00DA3D01"/>
    <w:rsid w:val="00DA4EF9"/>
    <w:rsid w:val="00DF700A"/>
    <w:rsid w:val="00DF771D"/>
    <w:rsid w:val="00E23160"/>
    <w:rsid w:val="00E33D88"/>
    <w:rsid w:val="00E3741F"/>
    <w:rsid w:val="00E44B38"/>
    <w:rsid w:val="00E5310B"/>
    <w:rsid w:val="00E72F31"/>
    <w:rsid w:val="00E76D65"/>
    <w:rsid w:val="00E8125B"/>
    <w:rsid w:val="00E83394"/>
    <w:rsid w:val="00E843F9"/>
    <w:rsid w:val="00E95775"/>
    <w:rsid w:val="00EA505C"/>
    <w:rsid w:val="00EC2C7F"/>
    <w:rsid w:val="00EE1BD0"/>
    <w:rsid w:val="00EE5667"/>
    <w:rsid w:val="00EE5772"/>
    <w:rsid w:val="00EF6E73"/>
    <w:rsid w:val="00F07484"/>
    <w:rsid w:val="00F11568"/>
    <w:rsid w:val="00F1735A"/>
    <w:rsid w:val="00F24D57"/>
    <w:rsid w:val="00F24EF6"/>
    <w:rsid w:val="00F3654A"/>
    <w:rsid w:val="00F37F2F"/>
    <w:rsid w:val="00F445CC"/>
    <w:rsid w:val="00F57E78"/>
    <w:rsid w:val="00F658BC"/>
    <w:rsid w:val="00F721D2"/>
    <w:rsid w:val="00F7790D"/>
    <w:rsid w:val="00F926DD"/>
    <w:rsid w:val="00F97241"/>
    <w:rsid w:val="00FA56B2"/>
    <w:rsid w:val="00FC3CA7"/>
    <w:rsid w:val="00FF010E"/>
    <w:rsid w:val="00FF6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C5FC9"/>
  <w15:chartTrackingRefBased/>
  <w15:docId w15:val="{5AF4286E-392F-4F6E-A4E1-C76D33224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C188C"/>
    <w:pPr>
      <w:spacing w:after="0" w:line="240" w:lineRule="auto"/>
    </w:pPr>
    <w:rPr>
      <w:rFonts w:ascii="Times New Roman" w:eastAsia="Times New Roman" w:hAnsi="Times New Roman" w:cs="Times New Roman"/>
      <w:lang w:val="en-US" w:eastAsia="de-DE"/>
    </w:rPr>
  </w:style>
  <w:style w:type="paragraph" w:styleId="berschrift1">
    <w:name w:val="heading 1"/>
    <w:aliases w:val="Rep Heading 1"/>
    <w:basedOn w:val="Beschriftung"/>
    <w:next w:val="RepStandard"/>
    <w:link w:val="berschrift1Zchn"/>
    <w:qFormat/>
    <w:rsid w:val="005F2574"/>
    <w:pPr>
      <w:outlineLvl w:val="0"/>
    </w:pPr>
  </w:style>
  <w:style w:type="paragraph" w:styleId="berschrift2">
    <w:name w:val="heading 2"/>
    <w:aliases w:val="Rep Heading 2,Header 1"/>
    <w:basedOn w:val="RepStandard"/>
    <w:next w:val="RepStandard"/>
    <w:link w:val="berschrift2Zchn"/>
    <w:qFormat/>
    <w:rsid w:val="00B321AF"/>
    <w:pPr>
      <w:keepNext/>
      <w:numPr>
        <w:ilvl w:val="1"/>
        <w:numId w:val="1"/>
      </w:numPr>
      <w:spacing w:before="480" w:after="240"/>
      <w:outlineLvl w:val="1"/>
    </w:pPr>
    <w:rPr>
      <w:b/>
      <w:bCs/>
      <w:sz w:val="24"/>
      <w:szCs w:val="24"/>
    </w:rPr>
  </w:style>
  <w:style w:type="paragraph" w:styleId="berschrift3">
    <w:name w:val="heading 3"/>
    <w:aliases w:val="Rep Heading 3"/>
    <w:basedOn w:val="RepStandard"/>
    <w:next w:val="RepStandard"/>
    <w:link w:val="berschrift3Zchn"/>
    <w:qFormat/>
    <w:rsid w:val="00B321AF"/>
    <w:pPr>
      <w:keepNext/>
      <w:numPr>
        <w:ilvl w:val="2"/>
        <w:numId w:val="1"/>
      </w:numPr>
      <w:suppressAutoHyphens/>
      <w:spacing w:before="480" w:after="240"/>
      <w:outlineLvl w:val="2"/>
    </w:pPr>
    <w:rPr>
      <w:rFonts w:eastAsia="Lucida Sans Unicode" w:cs="Tahoma"/>
      <w:b/>
      <w:bCs/>
      <w:kern w:val="24"/>
      <w:sz w:val="24"/>
      <w:szCs w:val="28"/>
    </w:rPr>
  </w:style>
  <w:style w:type="paragraph" w:styleId="berschrift4">
    <w:name w:val="heading 4"/>
    <w:aliases w:val="Rep Heading 4"/>
    <w:basedOn w:val="RepStandard"/>
    <w:next w:val="RepStandard"/>
    <w:link w:val="berschrift4Zchn"/>
    <w:qFormat/>
    <w:rsid w:val="00B321AF"/>
    <w:pPr>
      <w:keepNext/>
      <w:numPr>
        <w:ilvl w:val="3"/>
        <w:numId w:val="1"/>
      </w:numPr>
      <w:spacing w:before="480" w:after="240"/>
      <w:outlineLvl w:val="3"/>
    </w:pPr>
    <w:rPr>
      <w:b/>
      <w:noProof/>
      <w:sz w:val="24"/>
      <w:szCs w:val="2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Rep Heading 1 Zchn"/>
    <w:basedOn w:val="Absatz-Standardschriftart"/>
    <w:link w:val="berschrift1"/>
    <w:rsid w:val="005F2574"/>
    <w:rPr>
      <w:rFonts w:ascii="Times New Roman" w:eastAsia="Times New Roman" w:hAnsi="Times New Roman" w:cs="Times New Roman"/>
      <w:b/>
      <w:bCs/>
      <w:sz w:val="20"/>
      <w:szCs w:val="20"/>
      <w:lang w:val="en-US" w:eastAsia="de-DE"/>
    </w:rPr>
  </w:style>
  <w:style w:type="character" w:customStyle="1" w:styleId="berschrift2Zchn">
    <w:name w:val="Überschrift 2 Zchn"/>
    <w:aliases w:val="Rep Heading 2 Zchn,Header 1 Zchn"/>
    <w:basedOn w:val="Absatz-Standardschriftart"/>
    <w:link w:val="berschrift2"/>
    <w:rsid w:val="00B321AF"/>
    <w:rPr>
      <w:rFonts w:ascii="Times New Roman" w:eastAsia="Times New Roman" w:hAnsi="Times New Roman" w:cs="Times New Roman"/>
      <w:b/>
      <w:bCs/>
      <w:sz w:val="24"/>
      <w:szCs w:val="24"/>
      <w:lang w:val="en-GB" w:eastAsia="de-DE"/>
    </w:rPr>
  </w:style>
  <w:style w:type="character" w:customStyle="1" w:styleId="berschrift3Zchn">
    <w:name w:val="Überschrift 3 Zchn"/>
    <w:aliases w:val="Rep Heading 3 Zchn"/>
    <w:basedOn w:val="Absatz-Standardschriftart"/>
    <w:link w:val="berschrift3"/>
    <w:rsid w:val="00B321AF"/>
    <w:rPr>
      <w:rFonts w:ascii="Times New Roman" w:eastAsia="Lucida Sans Unicode" w:hAnsi="Times New Roman" w:cs="Tahoma"/>
      <w:b/>
      <w:bCs/>
      <w:kern w:val="24"/>
      <w:sz w:val="24"/>
      <w:szCs w:val="28"/>
      <w:lang w:val="en-GB" w:eastAsia="de-DE"/>
    </w:rPr>
  </w:style>
  <w:style w:type="character" w:customStyle="1" w:styleId="berschrift4Zchn">
    <w:name w:val="Überschrift 4 Zchn"/>
    <w:aliases w:val="Rep Heading 4 Zchn"/>
    <w:basedOn w:val="Absatz-Standardschriftart"/>
    <w:link w:val="berschrift4"/>
    <w:rsid w:val="00B321AF"/>
    <w:rPr>
      <w:rFonts w:ascii="Times New Roman" w:eastAsia="Times New Roman" w:hAnsi="Times New Roman" w:cs="Times New Roman"/>
      <w:b/>
      <w:noProof/>
      <w:sz w:val="24"/>
      <w:szCs w:val="24"/>
      <w:lang w:eastAsia="de-DE"/>
    </w:rPr>
  </w:style>
  <w:style w:type="paragraph" w:customStyle="1" w:styleId="RepStandard">
    <w:name w:val="Rep Standard"/>
    <w:link w:val="RepStandardZchnZchn"/>
    <w:qFormat/>
    <w:rsid w:val="00B321AF"/>
    <w:pPr>
      <w:widowControl w:val="0"/>
      <w:spacing w:after="0" w:line="240" w:lineRule="auto"/>
      <w:jc w:val="both"/>
    </w:pPr>
    <w:rPr>
      <w:rFonts w:ascii="Times New Roman" w:eastAsia="Times New Roman" w:hAnsi="Times New Roman" w:cs="Times New Roman"/>
      <w:lang w:val="en-GB" w:eastAsia="de-DE"/>
    </w:rPr>
  </w:style>
  <w:style w:type="character" w:customStyle="1" w:styleId="RepStandardZchnZchn">
    <w:name w:val="Rep Standard Zchn Zchn"/>
    <w:link w:val="RepStandard"/>
    <w:rsid w:val="00B321AF"/>
    <w:rPr>
      <w:rFonts w:ascii="Times New Roman" w:eastAsia="Times New Roman" w:hAnsi="Times New Roman" w:cs="Times New Roman"/>
      <w:lang w:val="en-GB" w:eastAsia="de-DE"/>
    </w:rPr>
  </w:style>
  <w:style w:type="table" w:styleId="Tabellenraster">
    <w:name w:val="Table Grid"/>
    <w:aliases w:val="Signature Table,DAR007"/>
    <w:basedOn w:val="NormaleTabelle"/>
    <w:rsid w:val="00B321AF"/>
    <w:pPr>
      <w:spacing w:after="0" w:line="240" w:lineRule="auto"/>
      <w:jc w:val="center"/>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ECD-Basis-Table-Text">
    <w:name w:val="OECD-Basis-Table-Text"/>
    <w:link w:val="OECD-Basis-Table-TextChar"/>
    <w:qFormat/>
    <w:rsid w:val="00B321AF"/>
    <w:pPr>
      <w:keepNext/>
      <w:widowControl w:val="0"/>
      <w:spacing w:after="0" w:line="240" w:lineRule="auto"/>
    </w:pPr>
    <w:rPr>
      <w:rFonts w:ascii="Times New Roman" w:eastAsia="Times New Roman" w:hAnsi="Times New Roman" w:cs="Times New Roman"/>
      <w:sz w:val="20"/>
      <w:lang w:val="en-US"/>
    </w:rPr>
  </w:style>
  <w:style w:type="character" w:customStyle="1" w:styleId="OECD-Basis-Table-TextChar">
    <w:name w:val="OECD-Basis-Table-Text Char"/>
    <w:link w:val="OECD-Basis-Table-Text"/>
    <w:rsid w:val="00B321AF"/>
    <w:rPr>
      <w:rFonts w:ascii="Times New Roman" w:eastAsia="Times New Roman" w:hAnsi="Times New Roman" w:cs="Times New Roman"/>
      <w:sz w:val="20"/>
      <w:lang w:val="en-US"/>
    </w:rPr>
  </w:style>
  <w:style w:type="character" w:styleId="Kommentarzeichen">
    <w:name w:val="annotation reference"/>
    <w:basedOn w:val="Absatz-Standardschriftart"/>
    <w:uiPriority w:val="99"/>
    <w:semiHidden/>
    <w:unhideWhenUsed/>
    <w:rsid w:val="00B321AF"/>
    <w:rPr>
      <w:sz w:val="16"/>
      <w:szCs w:val="16"/>
    </w:rPr>
  </w:style>
  <w:style w:type="paragraph" w:styleId="Kommentartext">
    <w:name w:val="annotation text"/>
    <w:basedOn w:val="Standard"/>
    <w:link w:val="KommentartextZchn"/>
    <w:uiPriority w:val="99"/>
    <w:unhideWhenUsed/>
    <w:rsid w:val="00B321AF"/>
    <w:rPr>
      <w:sz w:val="20"/>
      <w:szCs w:val="20"/>
    </w:rPr>
  </w:style>
  <w:style w:type="character" w:customStyle="1" w:styleId="KommentartextZchn">
    <w:name w:val="Kommentartext Zchn"/>
    <w:basedOn w:val="Absatz-Standardschriftart"/>
    <w:link w:val="Kommentartext"/>
    <w:uiPriority w:val="99"/>
    <w:rsid w:val="00B321AF"/>
    <w:rPr>
      <w:rFonts w:ascii="Times New Roman" w:eastAsia="Times New Roman" w:hAnsi="Times New Roman" w:cs="Times New Roman"/>
      <w:sz w:val="20"/>
      <w:szCs w:val="20"/>
      <w:lang w:val="en-US" w:eastAsia="de-DE"/>
    </w:rPr>
  </w:style>
  <w:style w:type="paragraph" w:styleId="Kommentarthema">
    <w:name w:val="annotation subject"/>
    <w:basedOn w:val="Kommentartext"/>
    <w:next w:val="Kommentartext"/>
    <w:link w:val="KommentarthemaZchn"/>
    <w:uiPriority w:val="99"/>
    <w:semiHidden/>
    <w:unhideWhenUsed/>
    <w:rsid w:val="00B321AF"/>
    <w:rPr>
      <w:b/>
      <w:bCs/>
    </w:rPr>
  </w:style>
  <w:style w:type="character" w:customStyle="1" w:styleId="KommentarthemaZchn">
    <w:name w:val="Kommentarthema Zchn"/>
    <w:basedOn w:val="KommentartextZchn"/>
    <w:link w:val="Kommentarthema"/>
    <w:uiPriority w:val="99"/>
    <w:semiHidden/>
    <w:rsid w:val="00B321AF"/>
    <w:rPr>
      <w:rFonts w:ascii="Times New Roman" w:eastAsia="Times New Roman" w:hAnsi="Times New Roman" w:cs="Times New Roman"/>
      <w:b/>
      <w:bCs/>
      <w:sz w:val="20"/>
      <w:szCs w:val="20"/>
      <w:lang w:val="en-US" w:eastAsia="de-DE"/>
    </w:rPr>
  </w:style>
  <w:style w:type="paragraph" w:styleId="Sprechblasentext">
    <w:name w:val="Balloon Text"/>
    <w:basedOn w:val="Standard"/>
    <w:link w:val="SprechblasentextZchn"/>
    <w:uiPriority w:val="99"/>
    <w:semiHidden/>
    <w:unhideWhenUsed/>
    <w:rsid w:val="00B321A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321AF"/>
    <w:rPr>
      <w:rFonts w:ascii="Segoe UI" w:eastAsia="Times New Roman" w:hAnsi="Segoe UI" w:cs="Segoe UI"/>
      <w:sz w:val="18"/>
      <w:szCs w:val="18"/>
      <w:lang w:val="en-US" w:eastAsia="de-DE"/>
    </w:rPr>
  </w:style>
  <w:style w:type="paragraph" w:styleId="Beschriftung">
    <w:name w:val="caption"/>
    <w:aliases w:val="o,o + Links,Beschriftung Char,Beschriftung Char1 Char,Beschriftung Char Char Char,Überschrift1,Tolyl,Beschriftung Char1,Beschriftung Char Char,o + Links Char Char Char,o Char Char,Char,Char Zchn Zchn,Char Char...,Beschriftung english, Char"/>
    <w:basedOn w:val="Standard"/>
    <w:next w:val="Standard"/>
    <w:link w:val="BeschriftungZchn"/>
    <w:qFormat/>
    <w:rsid w:val="00B321AF"/>
    <w:rPr>
      <w:b/>
      <w:bCs/>
      <w:sz w:val="20"/>
      <w:szCs w:val="20"/>
    </w:rPr>
  </w:style>
  <w:style w:type="character" w:customStyle="1" w:styleId="BeschriftungZchn">
    <w:name w:val="Beschriftung Zchn"/>
    <w:aliases w:val="o Zchn,o + Links Zchn,Beschriftung Char Zchn,Beschriftung Char1 Char Zchn,Beschriftung Char Char Char Zchn,Überschrift1 Zchn,Tolyl Zchn,Beschriftung Char1 Zchn,Beschriftung Char Char Zchn,o + Links Char Char Char Zchn,o Char Char Zchn"/>
    <w:link w:val="Beschriftung"/>
    <w:locked/>
    <w:rsid w:val="00B321AF"/>
    <w:rPr>
      <w:rFonts w:ascii="Times New Roman" w:eastAsia="Times New Roman" w:hAnsi="Times New Roman" w:cs="Times New Roman"/>
      <w:b/>
      <w:bCs/>
      <w:sz w:val="20"/>
      <w:szCs w:val="20"/>
      <w:lang w:val="en-US" w:eastAsia="de-DE"/>
    </w:rPr>
  </w:style>
  <w:style w:type="character" w:styleId="Hyperlink">
    <w:name w:val="Hyperlink"/>
    <w:basedOn w:val="Absatz-Standardschriftart"/>
    <w:uiPriority w:val="99"/>
    <w:unhideWhenUsed/>
    <w:rsid w:val="00B321AF"/>
    <w:rPr>
      <w:color w:val="0000FF"/>
      <w:u w:val="single"/>
    </w:rPr>
  </w:style>
  <w:style w:type="character" w:customStyle="1" w:styleId="NichtaufgelsteErwhnung1">
    <w:name w:val="Nicht aufgelöste Erwähnung1"/>
    <w:basedOn w:val="Absatz-Standardschriftart"/>
    <w:uiPriority w:val="99"/>
    <w:semiHidden/>
    <w:unhideWhenUsed/>
    <w:rsid w:val="00B321AF"/>
    <w:rPr>
      <w:color w:val="605E5C"/>
      <w:shd w:val="clear" w:color="auto" w:fill="E1DFDD"/>
    </w:rPr>
  </w:style>
  <w:style w:type="character" w:styleId="Platzhaltertext">
    <w:name w:val="Placeholder Text"/>
    <w:basedOn w:val="Absatz-Standardschriftart"/>
    <w:uiPriority w:val="99"/>
    <w:semiHidden/>
    <w:rsid w:val="00B321AF"/>
    <w:rPr>
      <w:color w:val="808080"/>
    </w:rPr>
  </w:style>
  <w:style w:type="paragraph" w:styleId="Listenabsatz">
    <w:name w:val="List Paragraph"/>
    <w:basedOn w:val="Standard"/>
    <w:uiPriority w:val="34"/>
    <w:qFormat/>
    <w:rsid w:val="005F4290"/>
    <w:pPr>
      <w:ind w:left="720"/>
      <w:contextualSpacing/>
    </w:pPr>
  </w:style>
  <w:style w:type="paragraph" w:styleId="Aufzhlungszeichen">
    <w:name w:val="List Bullet"/>
    <w:basedOn w:val="Standard"/>
    <w:semiHidden/>
    <w:rsid w:val="000E6F4F"/>
    <w:pPr>
      <w:numPr>
        <w:numId w:val="2"/>
      </w:numPr>
    </w:pPr>
  </w:style>
  <w:style w:type="character" w:customStyle="1" w:styleId="uk-text-meta">
    <w:name w:val="uk-text-meta"/>
    <w:basedOn w:val="Absatz-Standardschriftart"/>
    <w:rsid w:val="00462FB8"/>
  </w:style>
  <w:style w:type="table" w:customStyle="1" w:styleId="DAR0071">
    <w:name w:val="DAR0071"/>
    <w:basedOn w:val="NormaleTabelle"/>
    <w:next w:val="Tabellenraster"/>
    <w:rsid w:val="00403CA7"/>
    <w:pPr>
      <w:spacing w:after="0" w:line="240" w:lineRule="auto"/>
      <w:jc w:val="center"/>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857C60"/>
    <w:rPr>
      <w:sz w:val="20"/>
      <w:szCs w:val="20"/>
    </w:rPr>
  </w:style>
  <w:style w:type="character" w:customStyle="1" w:styleId="FunotentextZchn">
    <w:name w:val="Fußnotentext Zchn"/>
    <w:basedOn w:val="Absatz-Standardschriftart"/>
    <w:link w:val="Funotentext"/>
    <w:uiPriority w:val="99"/>
    <w:semiHidden/>
    <w:rsid w:val="00857C60"/>
    <w:rPr>
      <w:rFonts w:ascii="Times New Roman" w:eastAsia="Times New Roman" w:hAnsi="Times New Roman" w:cs="Times New Roman"/>
      <w:sz w:val="20"/>
      <w:szCs w:val="20"/>
      <w:lang w:val="en-US" w:eastAsia="de-DE"/>
    </w:rPr>
  </w:style>
  <w:style w:type="character" w:styleId="Funotenzeichen">
    <w:name w:val="footnote reference"/>
    <w:basedOn w:val="Absatz-Standardschriftart"/>
    <w:uiPriority w:val="99"/>
    <w:semiHidden/>
    <w:unhideWhenUsed/>
    <w:rsid w:val="00857C60"/>
    <w:rPr>
      <w:vertAlign w:val="superscript"/>
    </w:rPr>
  </w:style>
  <w:style w:type="character" w:styleId="BesuchterLink">
    <w:name w:val="FollowedHyperlink"/>
    <w:basedOn w:val="Absatz-Standardschriftart"/>
    <w:uiPriority w:val="99"/>
    <w:semiHidden/>
    <w:unhideWhenUsed/>
    <w:rsid w:val="00857C60"/>
    <w:rPr>
      <w:color w:val="954F72" w:themeColor="followedHyperlink"/>
      <w:u w:val="single"/>
    </w:rPr>
  </w:style>
  <w:style w:type="table" w:customStyle="1" w:styleId="DAR00711">
    <w:name w:val="DAR00711"/>
    <w:basedOn w:val="NormaleTabelle"/>
    <w:next w:val="Tabellenraster"/>
    <w:rsid w:val="008D53B1"/>
    <w:pPr>
      <w:spacing w:after="0" w:line="240" w:lineRule="auto"/>
      <w:jc w:val="center"/>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1F1DB6"/>
    <w:pPr>
      <w:spacing w:after="0" w:line="240" w:lineRule="auto"/>
    </w:pPr>
    <w:rPr>
      <w:rFonts w:ascii="Times New Roman" w:eastAsia="Times New Roman" w:hAnsi="Times New Roman" w:cs="Times New Roman"/>
      <w:lang w:val="en-US" w:eastAsia="de-DE"/>
    </w:rPr>
  </w:style>
  <w:style w:type="character" w:styleId="NichtaufgelsteErwhnung">
    <w:name w:val="Unresolved Mention"/>
    <w:basedOn w:val="Absatz-Standardschriftart"/>
    <w:uiPriority w:val="99"/>
    <w:semiHidden/>
    <w:unhideWhenUsed/>
    <w:rsid w:val="00D57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240930">
      <w:bodyDiv w:val="1"/>
      <w:marLeft w:val="0"/>
      <w:marRight w:val="0"/>
      <w:marTop w:val="0"/>
      <w:marBottom w:val="0"/>
      <w:divBdr>
        <w:top w:val="none" w:sz="0" w:space="0" w:color="auto"/>
        <w:left w:val="none" w:sz="0" w:space="0" w:color="auto"/>
        <w:bottom w:val="none" w:sz="0" w:space="0" w:color="auto"/>
        <w:right w:val="none" w:sz="0" w:space="0" w:color="auto"/>
      </w:divBdr>
    </w:div>
    <w:div w:id="1483811695">
      <w:bodyDiv w:val="1"/>
      <w:marLeft w:val="0"/>
      <w:marRight w:val="0"/>
      <w:marTop w:val="0"/>
      <w:marBottom w:val="0"/>
      <w:divBdr>
        <w:top w:val="none" w:sz="0" w:space="0" w:color="auto"/>
        <w:left w:val="none" w:sz="0" w:space="0" w:color="auto"/>
        <w:bottom w:val="none" w:sz="0" w:space="0" w:color="auto"/>
        <w:right w:val="none" w:sz="0" w:space="0" w:color="auto"/>
      </w:divBdr>
    </w:div>
    <w:div w:id="1551266884">
      <w:bodyDiv w:val="1"/>
      <w:marLeft w:val="0"/>
      <w:marRight w:val="0"/>
      <w:marTop w:val="0"/>
      <w:marBottom w:val="0"/>
      <w:divBdr>
        <w:top w:val="none" w:sz="0" w:space="0" w:color="auto"/>
        <w:left w:val="none" w:sz="0" w:space="0" w:color="auto"/>
        <w:bottom w:val="none" w:sz="0" w:space="0" w:color="auto"/>
        <w:right w:val="none" w:sz="0" w:space="0" w:color="auto"/>
      </w:divBdr>
    </w:div>
    <w:div w:id="1732537960">
      <w:bodyDiv w:val="1"/>
      <w:marLeft w:val="0"/>
      <w:marRight w:val="0"/>
      <w:marTop w:val="0"/>
      <w:marBottom w:val="0"/>
      <w:divBdr>
        <w:top w:val="none" w:sz="0" w:space="0" w:color="auto"/>
        <w:left w:val="none" w:sz="0" w:space="0" w:color="auto"/>
        <w:bottom w:val="none" w:sz="0" w:space="0" w:color="auto"/>
        <w:right w:val="none" w:sz="0" w:space="0" w:color="auto"/>
      </w:divBdr>
    </w:div>
    <w:div w:id="1933202377">
      <w:bodyDiv w:val="1"/>
      <w:marLeft w:val="0"/>
      <w:marRight w:val="0"/>
      <w:marTop w:val="0"/>
      <w:marBottom w:val="0"/>
      <w:divBdr>
        <w:top w:val="none" w:sz="0" w:space="0" w:color="auto"/>
        <w:left w:val="none" w:sz="0" w:space="0" w:color="auto"/>
        <w:bottom w:val="none" w:sz="0" w:space="0" w:color="auto"/>
        <w:right w:val="none" w:sz="0" w:space="0" w:color="auto"/>
      </w:divBdr>
    </w:div>
    <w:div w:id="209782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5281/zenodo.45936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F01844275801B4F87B1FC70346824D1" ma:contentTypeVersion="2" ma:contentTypeDescription="Ein neues Dokument erstellen." ma:contentTypeScope="" ma:versionID="f366541755680c35379caf1378e95241">
  <xsd:schema xmlns:xsd="http://www.w3.org/2001/XMLSchema" xmlns:xs="http://www.w3.org/2001/XMLSchema" xmlns:p="http://schemas.microsoft.com/office/2006/metadata/properties" targetNamespace="http://schemas.microsoft.com/office/2006/metadata/properties" ma:root="true" ma:fieldsID="ef6602f29a23cd88691fc5ed615d64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70BB8-619B-4202-BE64-11E5C8BF6A0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68EFEF9-465C-4D8F-B478-6CE9699B5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4E65FB7-D796-4F49-BE94-6AB3CD70437F}">
  <ds:schemaRefs>
    <ds:schemaRef ds:uri="http://schemas.microsoft.com/sharepoint/v3/contenttype/forms"/>
  </ds:schemaRefs>
</ds:datastoreItem>
</file>

<file path=customXml/itemProps4.xml><?xml version="1.0" encoding="utf-8"?>
<ds:datastoreItem xmlns:ds="http://schemas.openxmlformats.org/officeDocument/2006/customXml" ds:itemID="{EEA7A3FE-1AFE-4A3C-8F1A-3627966D7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3027</Words>
  <Characters>17259</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Umweltbundesamt</Company>
  <LinksUpToDate>false</LinksUpToDate>
  <CharactersWithSpaces>20246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Klehs, Kathrin</dc:creator>
  <cp:keywords/>
  <dc:description/>
  <cp:lastModifiedBy>Duquesne, Sabine</cp:lastModifiedBy>
  <cp:revision>3</cp:revision>
  <dcterms:created xsi:type="dcterms:W3CDTF">2023-03-31T15:41:00Z</dcterms:created>
  <dcterms:modified xsi:type="dcterms:W3CDTF">2023-03-31T15:42:00Z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0x0101007F01844275801B4F87B1FC70346824D1</vt:lpwstr>
  </property>
</Properties>
</file>